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4A24" w:rsidRDefault="00895F2D" w:rsidP="00277939">
      <w:pPr>
        <w:jc w:val="center"/>
        <w:rPr>
          <w:rStyle w:val="a3"/>
          <w:rFonts w:ascii="simsun" w:hAnsi="simsun" w:hint="eastAsia"/>
          <w:color w:val="00679C"/>
          <w:sz w:val="27"/>
          <w:szCs w:val="27"/>
        </w:rPr>
      </w:pPr>
      <w:r>
        <w:rPr>
          <w:rStyle w:val="a3"/>
          <w:rFonts w:ascii="simsun" w:hAnsi="simsun"/>
          <w:color w:val="00679C"/>
          <w:sz w:val="27"/>
          <w:szCs w:val="27"/>
        </w:rPr>
        <w:t>电子招投标标准化管理势在必行</w:t>
      </w:r>
    </w:p>
    <w:p w:rsidR="00895F2D" w:rsidRDefault="00895F2D" w:rsidP="00277939">
      <w:pPr>
        <w:pStyle w:val="a4"/>
        <w:spacing w:before="0" w:beforeAutospacing="0" w:after="225" w:afterAutospacing="0" w:line="270" w:lineRule="atLeast"/>
        <w:ind w:left="45" w:right="45" w:firstLine="450"/>
        <w:jc w:val="center"/>
        <w:rPr>
          <w:rFonts w:ascii="simsun" w:hAnsi="simsun" w:hint="eastAsia"/>
          <w:color w:val="00679C"/>
          <w:sz w:val="18"/>
          <w:szCs w:val="18"/>
        </w:rPr>
      </w:pPr>
      <w:r>
        <w:rPr>
          <w:rFonts w:ascii="simsun" w:hAnsi="simsun"/>
          <w:color w:val="00679C"/>
          <w:sz w:val="18"/>
          <w:szCs w:val="18"/>
        </w:rPr>
        <w:t>中国土木工程学会建筑市场与招标投标研究分会秘书长</w:t>
      </w:r>
      <w:r>
        <w:rPr>
          <w:rFonts w:ascii="simsun" w:hAnsi="simsun"/>
          <w:color w:val="00679C"/>
          <w:sz w:val="18"/>
          <w:szCs w:val="18"/>
        </w:rPr>
        <w:t xml:space="preserve"> </w:t>
      </w:r>
      <w:r>
        <w:rPr>
          <w:rFonts w:ascii="simsun" w:hAnsi="simsun"/>
          <w:color w:val="00679C"/>
          <w:sz w:val="18"/>
          <w:szCs w:val="18"/>
        </w:rPr>
        <w:t>安连发</w:t>
      </w:r>
    </w:p>
    <w:p w:rsidR="00895F2D" w:rsidRDefault="00895F2D" w:rsidP="00895F2D">
      <w:pPr>
        <w:pStyle w:val="a4"/>
        <w:spacing w:before="0" w:beforeAutospacing="0" w:after="225" w:afterAutospacing="0" w:line="270" w:lineRule="atLeast"/>
        <w:ind w:left="45" w:right="45" w:firstLine="450"/>
        <w:rPr>
          <w:rFonts w:ascii="simsun" w:hAnsi="simsun" w:hint="eastAsia"/>
          <w:color w:val="00679C"/>
          <w:sz w:val="18"/>
          <w:szCs w:val="18"/>
        </w:rPr>
      </w:pPr>
      <w:r>
        <w:rPr>
          <w:rFonts w:ascii="simsun" w:hAnsi="simsun"/>
          <w:color w:val="00679C"/>
          <w:sz w:val="18"/>
          <w:szCs w:val="18"/>
        </w:rPr>
        <w:t>据有关部门统计，目前我国每年的招标项目规模超过</w:t>
      </w:r>
      <w:r>
        <w:rPr>
          <w:rFonts w:ascii="simsun" w:hAnsi="simsun"/>
          <w:color w:val="00679C"/>
          <w:sz w:val="18"/>
          <w:szCs w:val="18"/>
        </w:rPr>
        <w:t>10</w:t>
      </w:r>
      <w:r>
        <w:rPr>
          <w:rFonts w:ascii="simsun" w:hAnsi="simsun"/>
          <w:color w:val="00679C"/>
          <w:sz w:val="18"/>
          <w:szCs w:val="18"/>
        </w:rPr>
        <w:t>万亿元，占</w:t>
      </w:r>
      <w:r>
        <w:rPr>
          <w:rFonts w:ascii="simsun" w:hAnsi="simsun"/>
          <w:color w:val="00679C"/>
          <w:sz w:val="18"/>
          <w:szCs w:val="18"/>
        </w:rPr>
        <w:t>GDP</w:t>
      </w:r>
      <w:r>
        <w:rPr>
          <w:rFonts w:ascii="simsun" w:hAnsi="simsun"/>
          <w:color w:val="00679C"/>
          <w:sz w:val="18"/>
          <w:szCs w:val="18"/>
        </w:rPr>
        <w:t>的</w:t>
      </w:r>
      <w:r>
        <w:rPr>
          <w:rFonts w:ascii="simsun" w:hAnsi="simsun"/>
          <w:color w:val="00679C"/>
          <w:sz w:val="18"/>
          <w:szCs w:val="18"/>
        </w:rPr>
        <w:t>10%</w:t>
      </w:r>
      <w:r>
        <w:rPr>
          <w:rFonts w:ascii="simsun" w:hAnsi="simsun"/>
          <w:color w:val="00679C"/>
          <w:sz w:val="18"/>
          <w:szCs w:val="18"/>
        </w:rPr>
        <w:t>左右；涉及领域包括工程建设、政府采购、土地交易、产权交易、物业管理等方面；全国有</w:t>
      </w:r>
      <w:r>
        <w:rPr>
          <w:rFonts w:ascii="simsun" w:hAnsi="simsun"/>
          <w:color w:val="00679C"/>
          <w:sz w:val="18"/>
          <w:szCs w:val="18"/>
        </w:rPr>
        <w:t>80%</w:t>
      </w:r>
      <w:r>
        <w:rPr>
          <w:rFonts w:ascii="simsun" w:hAnsi="simsun"/>
          <w:color w:val="00679C"/>
          <w:sz w:val="18"/>
          <w:szCs w:val="18"/>
        </w:rPr>
        <w:t>的企业都直接或间接地参与了各地的招投标活动。为适应招投标行业快速发展的新形势，一种全新的电子化招投标模式悄然兴起，正在替代传统复杂的基于纸质和手工的招投标模式，给招投标行业带来更加公正、高效、节能、革命性的转变。这是新型电子产业技术代替传统落后技术的一场变革，也是中国招投标行业前进的绿色之路、必由之路。</w:t>
      </w:r>
    </w:p>
    <w:p w:rsidR="00895F2D" w:rsidRDefault="00895F2D" w:rsidP="00895F2D">
      <w:pPr>
        <w:pStyle w:val="a4"/>
        <w:spacing w:before="0" w:beforeAutospacing="0" w:after="225" w:afterAutospacing="0" w:line="270" w:lineRule="atLeast"/>
        <w:ind w:left="45" w:right="45" w:firstLine="450"/>
        <w:rPr>
          <w:rFonts w:ascii="simsun" w:hAnsi="simsun" w:hint="eastAsia"/>
          <w:color w:val="00679C"/>
          <w:sz w:val="18"/>
          <w:szCs w:val="18"/>
        </w:rPr>
      </w:pPr>
      <w:r>
        <w:rPr>
          <w:rFonts w:ascii="simsun" w:hAnsi="simsun"/>
          <w:color w:val="00679C"/>
          <w:sz w:val="18"/>
          <w:szCs w:val="18"/>
        </w:rPr>
        <w:t>作为建设工程全生命周期中的一个核心环节，招投标的信息化程度也反映着行业信息化推动的进程。运用电子信息技术改造传统纸质招投标方式，推行电子招投标，是进一步有效规范招投标市场秩序，转变招投标行业发展方式，促进行业健康、科学发展的必然趋势。近年来，国内越来越多省市的电子招投标平台上线运行，网上投标报名、在线下载标书，甚至异地远程评标的方式也逐渐为人们所熟知。可以说，目前工程交易信息化已经进入从局部到整体、从个别地区先行到全国踊跃参与的电子化时代。目前，一系列成熟的工具软件得以广泛应用，使招投标文件编制、工程计价、评标等业务效率大幅提高，专业性和准确性得以保障；部分招投标主管部门建立了招投标管理信息网站，统一了招投标信息发布以及相关政策法规的发布；部分省市依托有形建筑市场建立了基于互联网的招投标管理系统，并在招投标监管电子化方面进行了积极的尝试，积累了较多的系统建设经验，这其中包括广州、南京、贵阳、重庆和西安等地。</w:t>
      </w:r>
    </w:p>
    <w:p w:rsidR="00895F2D" w:rsidRDefault="00895F2D" w:rsidP="00895F2D">
      <w:pPr>
        <w:pStyle w:val="a4"/>
        <w:spacing w:before="0" w:beforeAutospacing="0" w:after="225" w:afterAutospacing="0" w:line="270" w:lineRule="atLeast"/>
        <w:ind w:left="45" w:right="45" w:firstLine="450"/>
        <w:rPr>
          <w:rFonts w:ascii="simsun" w:hAnsi="simsun" w:hint="eastAsia"/>
          <w:color w:val="00679C"/>
          <w:sz w:val="18"/>
          <w:szCs w:val="18"/>
        </w:rPr>
      </w:pPr>
      <w:r>
        <w:rPr>
          <w:rFonts w:ascii="simsun" w:hAnsi="simsun"/>
          <w:color w:val="00679C"/>
          <w:sz w:val="18"/>
          <w:szCs w:val="18"/>
        </w:rPr>
        <w:t>推行电子招投标对于实现节能减排、绿色采购、提高交易效率、发展服务业、调整招投标行业的产业结构以及提升队伍职业素质和服务层次等具有不同程度的促进作用。同时，对于实现招投标信息的充分公开，健全社会监督机制，转变政府监管方式，规范招投标秩序所产生的作用更为关键、有效，其意义更为深远。但不可否认，电子招投标工作目前也存在一些问题。</w:t>
      </w:r>
    </w:p>
    <w:p w:rsidR="00895F2D" w:rsidRDefault="00895F2D" w:rsidP="00895F2D">
      <w:pPr>
        <w:pStyle w:val="a4"/>
        <w:spacing w:before="0" w:beforeAutospacing="0" w:after="225" w:afterAutospacing="0" w:line="270" w:lineRule="atLeast"/>
        <w:ind w:left="45" w:right="45" w:firstLine="450"/>
        <w:rPr>
          <w:rFonts w:ascii="simsun" w:hAnsi="simsun" w:hint="eastAsia"/>
          <w:color w:val="00679C"/>
          <w:sz w:val="18"/>
          <w:szCs w:val="18"/>
        </w:rPr>
      </w:pPr>
      <w:r>
        <w:rPr>
          <w:rFonts w:ascii="simsun" w:hAnsi="simsun"/>
          <w:color w:val="00679C"/>
          <w:sz w:val="18"/>
          <w:szCs w:val="18"/>
        </w:rPr>
        <w:t>一是电子招投标合法和可靠性缺乏制度保障。由于电子招投标系统研发运用缺乏统一的协调、指导、管理办法以及技术标准</w:t>
      </w:r>
      <w:r>
        <w:rPr>
          <w:rFonts w:ascii="simsun" w:hAnsi="simsun"/>
          <w:color w:val="00679C"/>
          <w:sz w:val="18"/>
          <w:szCs w:val="18"/>
        </w:rPr>
        <w:t>,</w:t>
      </w:r>
      <w:r>
        <w:rPr>
          <w:rFonts w:ascii="simsun" w:hAnsi="simsun"/>
          <w:color w:val="00679C"/>
          <w:sz w:val="18"/>
          <w:szCs w:val="18"/>
        </w:rPr>
        <w:t>大多数电子招投标系统属于自行研发，自己使用，各搞一套，自成一体。电子招投标的操作流程、权限、时效、责任以及主体身份识别与签名、信息的保密安全、资料存档等一系列特定问题的界定缺乏相关配套的法律依据和制度保障。而且，电子招投标系统设计的流程是否合法有效、能否有效堵住</w:t>
      </w:r>
      <w:r>
        <w:rPr>
          <w:rFonts w:ascii="simsun" w:hAnsi="simsun"/>
          <w:color w:val="00679C"/>
          <w:sz w:val="18"/>
          <w:szCs w:val="18"/>
        </w:rPr>
        <w:t>“</w:t>
      </w:r>
      <w:r>
        <w:rPr>
          <w:rFonts w:ascii="simsun" w:hAnsi="simsun"/>
          <w:color w:val="00679C"/>
          <w:sz w:val="18"/>
          <w:szCs w:val="18"/>
        </w:rPr>
        <w:t>后门</w:t>
      </w:r>
      <w:r>
        <w:rPr>
          <w:rFonts w:ascii="simsun" w:hAnsi="simsun"/>
          <w:color w:val="00679C"/>
          <w:sz w:val="18"/>
          <w:szCs w:val="18"/>
        </w:rPr>
        <w:t>”</w:t>
      </w:r>
      <w:r>
        <w:rPr>
          <w:rFonts w:ascii="simsun" w:hAnsi="simsun"/>
          <w:color w:val="00679C"/>
          <w:sz w:val="18"/>
          <w:szCs w:val="18"/>
        </w:rPr>
        <w:t>的非法行为也缺乏使人信任的测评办法和权威机构认证。</w:t>
      </w:r>
    </w:p>
    <w:p w:rsidR="00895F2D" w:rsidRDefault="00895F2D" w:rsidP="00895F2D">
      <w:pPr>
        <w:pStyle w:val="a4"/>
        <w:spacing w:before="0" w:beforeAutospacing="0" w:after="225" w:afterAutospacing="0" w:line="270" w:lineRule="atLeast"/>
        <w:ind w:left="45" w:right="45" w:firstLine="450"/>
        <w:rPr>
          <w:rFonts w:ascii="simsun" w:hAnsi="simsun" w:hint="eastAsia"/>
          <w:color w:val="00679C"/>
          <w:sz w:val="18"/>
          <w:szCs w:val="18"/>
        </w:rPr>
      </w:pPr>
      <w:r>
        <w:rPr>
          <w:rFonts w:ascii="simsun" w:hAnsi="simsun"/>
          <w:color w:val="00679C"/>
          <w:sz w:val="18"/>
          <w:szCs w:val="18"/>
        </w:rPr>
        <w:t>二是招投标系统功能和信息不能共享。招投标行政管理体制条块分割，各行业、地方的招投标流程都有不同程度的差异，由于缺乏统一规划指导和协调，电子招投标系统技术、信息数据格式和交互接口没有统一标准，也没有信息交互共享的公共服务平台。这些因素使得目前各电子招投标系统功能和信息资源零打碎敲，相互隔裂，不完整、不统一，形成了新的系统壁垒和信息孤岛，并使各系统使用者不可避免地浪费资源去购买有关技术服务，以对接不同的应用系统和管理平台，最终无法实现电子招投标系统全流程功能的协调整合以及招投标市场信息资源的对接</w:t>
      </w:r>
      <w:proofErr w:type="gramStart"/>
      <w:r>
        <w:rPr>
          <w:rFonts w:ascii="simsun" w:hAnsi="simsun"/>
          <w:color w:val="00679C"/>
          <w:sz w:val="18"/>
          <w:szCs w:val="18"/>
        </w:rPr>
        <w:t>交互和</w:t>
      </w:r>
      <w:proofErr w:type="gramEnd"/>
      <w:r>
        <w:rPr>
          <w:rFonts w:ascii="simsun" w:hAnsi="simsun"/>
          <w:color w:val="00679C"/>
          <w:sz w:val="18"/>
          <w:szCs w:val="18"/>
        </w:rPr>
        <w:t>开放共享。</w:t>
      </w:r>
    </w:p>
    <w:p w:rsidR="00895F2D" w:rsidRDefault="00895F2D" w:rsidP="00895F2D">
      <w:pPr>
        <w:pStyle w:val="a4"/>
        <w:spacing w:before="0" w:beforeAutospacing="0" w:after="225" w:afterAutospacing="0" w:line="270" w:lineRule="atLeast"/>
        <w:ind w:left="45" w:right="45" w:firstLine="450"/>
        <w:rPr>
          <w:rFonts w:ascii="simsun" w:hAnsi="simsun" w:hint="eastAsia"/>
          <w:color w:val="00679C"/>
          <w:sz w:val="18"/>
          <w:szCs w:val="18"/>
        </w:rPr>
      </w:pPr>
      <w:r>
        <w:rPr>
          <w:rFonts w:ascii="simsun" w:hAnsi="simsun"/>
          <w:color w:val="00679C"/>
          <w:sz w:val="18"/>
          <w:szCs w:val="18"/>
        </w:rPr>
        <w:t>标准化的推广是行业良性竞争的一个保障。在实践中，诸多行业性垄断是以直接排斥、限制竞争的形式表现出来的。从微观层面看，行业性垄断往往通过直接禁止某一产品或某地产品进入某一特定的产品市场或地域市场，改变了特定市场上竞争者的地位，造成了不公平竞争与垄断局面的出现。从宏观方面看，行业性垄断损害了公平竞争秩序，将本应统一、开放的全国性市场分割为彼此封闭、互不联系的条块结构，妨碍了全国开放、统一市场的形成，阻碍了社会主义市场竞争机制建立与完善的进程。</w:t>
      </w:r>
    </w:p>
    <w:p w:rsidR="00895F2D" w:rsidRDefault="00895F2D" w:rsidP="00895F2D">
      <w:pPr>
        <w:pStyle w:val="a4"/>
        <w:spacing w:before="0" w:beforeAutospacing="0" w:after="225" w:afterAutospacing="0" w:line="270" w:lineRule="atLeast"/>
        <w:ind w:left="45" w:right="45" w:firstLine="450"/>
        <w:rPr>
          <w:rFonts w:ascii="simsun" w:hAnsi="simsun" w:hint="eastAsia"/>
          <w:color w:val="00679C"/>
          <w:sz w:val="18"/>
          <w:szCs w:val="18"/>
        </w:rPr>
      </w:pPr>
      <w:r>
        <w:rPr>
          <w:rFonts w:ascii="simsun" w:hAnsi="simsun"/>
          <w:color w:val="00679C"/>
          <w:sz w:val="18"/>
          <w:szCs w:val="18"/>
        </w:rPr>
        <w:lastRenderedPageBreak/>
        <w:t>目前，全国有</w:t>
      </w:r>
      <w:r>
        <w:rPr>
          <w:rFonts w:ascii="simsun" w:hAnsi="simsun"/>
          <w:color w:val="00679C"/>
          <w:sz w:val="18"/>
          <w:szCs w:val="18"/>
        </w:rPr>
        <w:t>17</w:t>
      </w:r>
      <w:r>
        <w:rPr>
          <w:rFonts w:ascii="simsun" w:hAnsi="simsun"/>
          <w:color w:val="00679C"/>
          <w:sz w:val="18"/>
          <w:szCs w:val="18"/>
        </w:rPr>
        <w:t>个省、自治区、直辖市组建了综合评标专家库，有</w:t>
      </w:r>
      <w:r>
        <w:rPr>
          <w:rFonts w:ascii="simsun" w:hAnsi="simsun"/>
          <w:color w:val="00679C"/>
          <w:sz w:val="18"/>
          <w:szCs w:val="18"/>
        </w:rPr>
        <w:t>9</w:t>
      </w:r>
      <w:r>
        <w:rPr>
          <w:rFonts w:ascii="simsun" w:hAnsi="simsun"/>
          <w:color w:val="00679C"/>
          <w:sz w:val="18"/>
          <w:szCs w:val="18"/>
        </w:rPr>
        <w:t>个省（区、市）正在积极推进，住房城乡建设部也正在为组建房屋市政工程评标</w:t>
      </w:r>
      <w:proofErr w:type="gramStart"/>
      <w:r>
        <w:rPr>
          <w:rFonts w:ascii="simsun" w:hAnsi="simsun"/>
          <w:color w:val="00679C"/>
          <w:sz w:val="18"/>
          <w:szCs w:val="18"/>
        </w:rPr>
        <w:t>专家库作积极</w:t>
      </w:r>
      <w:proofErr w:type="gramEnd"/>
      <w:r>
        <w:rPr>
          <w:rFonts w:ascii="simsun" w:hAnsi="simsun"/>
          <w:color w:val="00679C"/>
          <w:sz w:val="18"/>
          <w:szCs w:val="18"/>
        </w:rPr>
        <w:t>努力。下一步，国家有关部门将进一步加强政策指导，健全制度规范，尽快推动在全国范围内建立起标准统一、互联互通、资源共享的综合评标专家库体系。</w:t>
      </w:r>
    </w:p>
    <w:p w:rsidR="00895F2D" w:rsidRDefault="00895F2D" w:rsidP="00895F2D">
      <w:pPr>
        <w:pStyle w:val="a4"/>
        <w:spacing w:before="0" w:beforeAutospacing="0" w:after="225" w:afterAutospacing="0" w:line="270" w:lineRule="atLeast"/>
        <w:ind w:left="45" w:right="45" w:firstLine="450"/>
        <w:rPr>
          <w:rFonts w:ascii="simsun" w:hAnsi="simsun" w:hint="eastAsia"/>
          <w:color w:val="00679C"/>
          <w:sz w:val="18"/>
          <w:szCs w:val="18"/>
        </w:rPr>
      </w:pPr>
      <w:r>
        <w:rPr>
          <w:rFonts w:ascii="simsun" w:hAnsi="simsun"/>
          <w:color w:val="00679C"/>
          <w:sz w:val="18"/>
          <w:szCs w:val="18"/>
        </w:rPr>
        <w:t>标准化是电子政务的基础，是电子政务实现</w:t>
      </w:r>
      <w:r>
        <w:rPr>
          <w:rFonts w:ascii="simsun" w:hAnsi="simsun"/>
          <w:color w:val="00679C"/>
          <w:sz w:val="18"/>
          <w:szCs w:val="18"/>
        </w:rPr>
        <w:t>“</w:t>
      </w:r>
      <w:r>
        <w:rPr>
          <w:rFonts w:ascii="simsun" w:hAnsi="simsun"/>
          <w:color w:val="00679C"/>
          <w:sz w:val="18"/>
          <w:szCs w:val="18"/>
        </w:rPr>
        <w:t>互联互通、信息共享、业务协同、安全可靠</w:t>
      </w:r>
      <w:r>
        <w:rPr>
          <w:rFonts w:ascii="simsun" w:hAnsi="simsun"/>
          <w:color w:val="00679C"/>
          <w:sz w:val="18"/>
          <w:szCs w:val="18"/>
        </w:rPr>
        <w:t>”</w:t>
      </w:r>
      <w:r>
        <w:rPr>
          <w:rFonts w:ascii="simsun" w:hAnsi="simsun"/>
          <w:color w:val="00679C"/>
          <w:sz w:val="18"/>
          <w:szCs w:val="18"/>
        </w:rPr>
        <w:t>的前提。国内外信息化实践证明，信息化建设必须有标准体系的支撑，尤其要发挥标准化的导向作用，以确保其技术上的协调一致和整体效能的实现。</w:t>
      </w:r>
      <w:r>
        <w:rPr>
          <w:rFonts w:ascii="simsun" w:hAnsi="simsun" w:hint="eastAsia"/>
          <w:color w:val="00679C"/>
          <w:sz w:val="18"/>
          <w:szCs w:val="18"/>
        </w:rPr>
        <w:t>（</w:t>
      </w:r>
      <w:r>
        <w:rPr>
          <w:rFonts w:ascii="simsun" w:hAnsi="simsun"/>
          <w:color w:val="00679C"/>
          <w:sz w:val="18"/>
          <w:szCs w:val="18"/>
        </w:rPr>
        <w:t>中国建设报</w:t>
      </w:r>
      <w:r>
        <w:rPr>
          <w:rFonts w:ascii="simsun" w:hAnsi="simsun"/>
          <w:color w:val="00679C"/>
          <w:sz w:val="18"/>
          <w:szCs w:val="18"/>
        </w:rPr>
        <w:t>     2012-11-02</w:t>
      </w:r>
      <w:r>
        <w:rPr>
          <w:rFonts w:ascii="simsun" w:hAnsi="simsun" w:hint="eastAsia"/>
          <w:color w:val="00679C"/>
          <w:sz w:val="18"/>
          <w:szCs w:val="18"/>
        </w:rPr>
        <w:t>）</w:t>
      </w:r>
    </w:p>
    <w:p w:rsidR="00895F2D" w:rsidRPr="00895F2D" w:rsidRDefault="00895F2D"/>
    <w:sectPr w:rsidR="00895F2D" w:rsidRPr="00895F2D" w:rsidSect="00B54A2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438D" w:rsidRDefault="004A438D" w:rsidP="00277939">
      <w:r>
        <w:separator/>
      </w:r>
    </w:p>
  </w:endnote>
  <w:endnote w:type="continuationSeparator" w:id="0">
    <w:p w:rsidR="004A438D" w:rsidRDefault="004A438D" w:rsidP="0027793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438D" w:rsidRDefault="004A438D" w:rsidP="00277939">
      <w:r>
        <w:separator/>
      </w:r>
    </w:p>
  </w:footnote>
  <w:footnote w:type="continuationSeparator" w:id="0">
    <w:p w:rsidR="004A438D" w:rsidRDefault="004A438D" w:rsidP="0027793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95F2D"/>
    <w:rsid w:val="00036802"/>
    <w:rsid w:val="000A79FE"/>
    <w:rsid w:val="001D6D2F"/>
    <w:rsid w:val="00277939"/>
    <w:rsid w:val="004A438D"/>
    <w:rsid w:val="00895F2D"/>
    <w:rsid w:val="008B2376"/>
    <w:rsid w:val="00B04955"/>
    <w:rsid w:val="00B54A24"/>
    <w:rsid w:val="00E479D6"/>
    <w:rsid w:val="00F8136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4A2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895F2D"/>
    <w:rPr>
      <w:b/>
      <w:bCs/>
    </w:rPr>
  </w:style>
  <w:style w:type="paragraph" w:styleId="a4">
    <w:name w:val="Normal (Web)"/>
    <w:basedOn w:val="a"/>
    <w:uiPriority w:val="99"/>
    <w:semiHidden/>
    <w:unhideWhenUsed/>
    <w:rsid w:val="00895F2D"/>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Char"/>
    <w:uiPriority w:val="99"/>
    <w:semiHidden/>
    <w:unhideWhenUsed/>
    <w:rsid w:val="0027793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277939"/>
    <w:rPr>
      <w:sz w:val="18"/>
      <w:szCs w:val="18"/>
    </w:rPr>
  </w:style>
  <w:style w:type="paragraph" w:styleId="a6">
    <w:name w:val="footer"/>
    <w:basedOn w:val="a"/>
    <w:link w:val="Char0"/>
    <w:uiPriority w:val="99"/>
    <w:semiHidden/>
    <w:unhideWhenUsed/>
    <w:rsid w:val="00277939"/>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277939"/>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271</Words>
  <Characters>1546</Characters>
  <Application>Microsoft Office Word</Application>
  <DocSecurity>0</DocSecurity>
  <Lines>12</Lines>
  <Paragraphs>3</Paragraphs>
  <ScaleCrop>false</ScaleCrop>
  <Company>微软中国</Company>
  <LinksUpToDate>false</LinksUpToDate>
  <CharactersWithSpaces>1814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4</cp:revision>
  <dcterms:created xsi:type="dcterms:W3CDTF">2013-04-16T05:11:00Z</dcterms:created>
  <dcterms:modified xsi:type="dcterms:W3CDTF">2013-04-19T02:06:00Z</dcterms:modified>
</cp:coreProperties>
</file>