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400" w:lineRule="exact"/>
        <w:jc w:val="right"/>
        <w:rPr>
          <w:rFonts w:eastAsia="黑体"/>
          <w:sz w:val="28"/>
        </w:rPr>
      </w:pPr>
      <w:r>
        <w:rPr>
          <w:rFonts w:eastAsia="黑体"/>
          <w:sz w:val="28"/>
        </w:rPr>
        <w:t>内部资料</w:t>
      </w:r>
    </w:p>
    <w:p>
      <w:pPr>
        <w:spacing w:line="400" w:lineRule="exact"/>
        <w:jc w:val="right"/>
        <w:rPr>
          <w:rFonts w:eastAsia="黑体"/>
          <w:sz w:val="28"/>
        </w:rPr>
      </w:pPr>
      <w:r>
        <w:rPr>
          <w:rFonts w:eastAsia="黑体"/>
          <w:sz w:val="28"/>
        </w:rPr>
        <w:t>注意保存</w:t>
      </w:r>
    </w:p>
    <w:p>
      <w:pPr>
        <w:jc w:val="right"/>
      </w:pPr>
    </w:p>
    <w:p>
      <w:pPr>
        <w:jc w:val="right"/>
      </w:pPr>
    </w:p>
    <w:p>
      <w:pPr>
        <w:spacing w:beforeLines="100"/>
        <w:jc w:val="center"/>
        <w:rPr>
          <w:rFonts w:eastAsia="方正小标宋简体"/>
          <w:color w:val="FF6600"/>
          <w:sz w:val="62"/>
        </w:rPr>
      </w:pPr>
      <w:r>
        <w:rPr>
          <w:rFonts w:eastAsia="方正小标宋简体"/>
          <w:color w:val="FF6600"/>
          <w:sz w:val="62"/>
        </w:rPr>
        <w:t>建筑市场与招投标简报</w:t>
      </w:r>
    </w:p>
    <w:p>
      <w:pPr>
        <w:spacing w:beforeLines="10"/>
        <w:jc w:val="center"/>
        <w:rPr>
          <w:rFonts w:eastAsia="黑体"/>
          <w:sz w:val="30"/>
        </w:rPr>
      </w:pPr>
      <w:r>
        <w:rPr>
          <w:rFonts w:eastAsia="黑体"/>
          <w:sz w:val="30"/>
        </w:rPr>
        <w:t>第</w:t>
      </w:r>
      <w:r>
        <w:rPr>
          <w:rFonts w:hint="eastAsia" w:eastAsia="黑体"/>
          <w:sz w:val="30"/>
          <w:lang w:val="en-US" w:eastAsia="zh-CN"/>
        </w:rPr>
        <w:t>9</w:t>
      </w:r>
      <w:r>
        <w:rPr>
          <w:rFonts w:eastAsia="黑体"/>
          <w:sz w:val="30"/>
        </w:rPr>
        <w:t>期（总</w:t>
      </w:r>
      <w:r>
        <w:rPr>
          <w:rFonts w:hint="eastAsia" w:eastAsia="黑体"/>
          <w:sz w:val="30"/>
          <w:lang w:val="en-US" w:eastAsia="zh-CN"/>
        </w:rPr>
        <w:t>310</w:t>
      </w:r>
      <w:r>
        <w:rPr>
          <w:rFonts w:eastAsia="黑体"/>
          <w:sz w:val="30"/>
        </w:rPr>
        <w:t>期）</w:t>
      </w:r>
    </w:p>
    <w:p>
      <w:pPr>
        <w:spacing w:line="240" w:lineRule="exact"/>
        <w:jc w:val="center"/>
      </w:pPr>
    </w:p>
    <w:p>
      <w:pPr>
        <w:jc w:val="right"/>
      </w:pPr>
      <w:r>
        <w:rPr>
          <w:rFonts w:ascii="Times New Roman" w:hAnsi="Times New Roman" w:eastAsia="宋体" w:cs="Times New Roman"/>
          <w:kern w:val="2"/>
          <w:sz w:val="20"/>
          <w:szCs w:val="20"/>
          <w:lang w:val="en-US" w:eastAsia="zh-CN" w:bidi="ar-SA"/>
        </w:rPr>
        <w:pict>
          <v:shape id="Text Box 2" o:spid="_x0000_s1026" type="#_x0000_t202" style="position:absolute;left:0;margin-left:6.2pt;margin-top:7.7pt;height:33.65pt;width:43.4pt;rotation:0f;z-index:251658240;" o:ole="f" fillcolor="#FFFFFF" filled="t" o:preferrelative="t" stroked="t" coordorigin="0,0" coordsize="21600,21600" wrapcoords="-313 0 -313 21600 21913 21600 21913 0 -313 0">
            <v:stroke color="#FFFFFF" color2="#FFFFFF" miterlimit="2"/>
            <v:imagedata gain="65536f" blacklevel="0f" gamma="0"/>
            <o:lock v:ext="edit" position="f" selection="f" grouping="f" rotation="f" cropping="f" text="f" aspectratio="f"/>
            <v:textbox inset="0.00pt,0.00pt,0.00pt,0.00pt">
              <w:txbxContent>
                <w:p>
                  <w:pPr>
                    <w:spacing w:line="240" w:lineRule="exact"/>
                    <w:rPr>
                      <w:rFonts w:hint="eastAsia"/>
                    </w:rPr>
                  </w:pPr>
                  <w:r>
                    <w:rPr>
                      <w:rFonts w:hint="eastAsia"/>
                    </w:rPr>
                    <w:t>中国土木</w:t>
                  </w:r>
                </w:p>
                <w:p>
                  <w:pPr>
                    <w:spacing w:line="240" w:lineRule="exact"/>
                    <w:rPr>
                      <w:rFonts w:hint="eastAsia"/>
                    </w:rPr>
                  </w:pPr>
                  <w:r>
                    <w:rPr>
                      <w:rFonts w:hint="eastAsia"/>
                    </w:rPr>
                    <w:t>工程学会</w:t>
                  </w:r>
                </w:p>
              </w:txbxContent>
            </v:textbox>
          </v:shape>
        </w:pict>
      </w:r>
    </w:p>
    <w:p>
      <w:pPr>
        <w:ind w:firstLine="1050" w:firstLineChars="500"/>
      </w:pPr>
      <w:r>
        <w:t>建筑市场与招标投标研究分会编　　　　　　　　　</w:t>
      </w:r>
      <w:r>
        <w:rPr>
          <w:rFonts w:hint="eastAsia"/>
        </w:rPr>
        <w:t xml:space="preserve">    </w:t>
      </w:r>
      <w:r>
        <w:t>　 20</w:t>
      </w:r>
      <w:r>
        <w:rPr>
          <w:rFonts w:hint="eastAsia"/>
        </w:rPr>
        <w:t>1</w:t>
      </w:r>
      <w:r>
        <w:rPr>
          <w:rFonts w:hint="eastAsia"/>
          <w:lang w:val="en-US" w:eastAsia="zh-CN"/>
        </w:rPr>
        <w:t>6</w:t>
      </w:r>
      <w:r>
        <w:t>年</w:t>
      </w:r>
      <w:r>
        <w:rPr>
          <w:rFonts w:hint="eastAsia"/>
          <w:lang w:val="en-US" w:eastAsia="zh-CN"/>
        </w:rPr>
        <w:t>9</w:t>
      </w:r>
      <w:r>
        <w:t>月</w:t>
      </w:r>
      <w:r>
        <w:rPr>
          <w:rFonts w:hint="eastAsia"/>
          <w:lang w:val="en-US" w:eastAsia="zh-CN"/>
        </w:rPr>
        <w:t>19</w:t>
      </w:r>
      <w:r>
        <w:rPr>
          <w:rFonts w:hint="eastAsia"/>
        </w:rPr>
        <w:t>日</w:t>
      </w:r>
    </w:p>
    <w:p>
      <w:pPr>
        <w:spacing w:line="300" w:lineRule="exact"/>
        <w:jc w:val="right"/>
      </w:pPr>
      <w:r>
        <w:rPr>
          <w:rFonts w:ascii="Times New Roman" w:hAnsi="Times New Roman" w:eastAsia="宋体" w:cs="Times New Roman"/>
          <w:kern w:val="2"/>
          <w:sz w:val="20"/>
          <w:szCs w:val="20"/>
          <w:lang w:val="en-US" w:eastAsia="zh-CN" w:bidi="ar-SA"/>
        </w:rPr>
        <w:pict>
          <v:line id="Line 3" o:spid="_x0000_s1027" style="position:absolute;left:0;margin-left:1.45pt;margin-top:14.7pt;height:0.05pt;width:425.2pt;rotation:0f;z-index:251659264;" o:ole="f" fillcolor="#FFFFFF" filled="f" o:preferrelative="t" stroked="t" coordsize="21600,21600">
            <v:fill on="f" color2="#FFFFFF" focus="0%"/>
            <v:stroke weight="1.5pt" color="#FF6600" color2="#FFFFFF" miterlimit="2"/>
            <v:imagedata gain="65536f" blacklevel="0f" gamma="0"/>
            <o:lock v:ext="edit" position="f" selection="f" grouping="f" rotation="f" cropping="f" text="f" aspectratio="f"/>
          </v:line>
        </w:pict>
      </w:r>
    </w:p>
    <w:p>
      <w:pPr>
        <w:snapToGrid w:val="0"/>
        <w:spacing w:line="288" w:lineRule="auto"/>
        <w:jc w:val="center"/>
      </w:pPr>
    </w:p>
    <w:p>
      <w:pPr>
        <w:snapToGrid w:val="0"/>
        <w:spacing w:line="288" w:lineRule="auto"/>
        <w:jc w:val="center"/>
        <w:rPr>
          <w:rFonts w:ascii="宋体" w:hAnsi="宋体"/>
          <w:b/>
          <w:bCs/>
          <w:sz w:val="28"/>
          <w:szCs w:val="28"/>
        </w:rPr>
      </w:pPr>
    </w:p>
    <w:p>
      <w:pPr>
        <w:snapToGrid w:val="0"/>
        <w:spacing w:line="288" w:lineRule="auto"/>
        <w:jc w:val="center"/>
        <w:rPr>
          <w:rFonts w:ascii="宋体" w:hAnsi="宋体"/>
          <w:b/>
          <w:bCs/>
          <w:sz w:val="28"/>
          <w:szCs w:val="28"/>
        </w:rPr>
      </w:pPr>
      <w:r>
        <w:rPr>
          <w:rFonts w:ascii="宋体" w:hAnsi="宋体"/>
          <w:b/>
          <w:bCs/>
          <w:sz w:val="28"/>
          <w:szCs w:val="28"/>
        </w:rPr>
        <w:t>目　　录</w:t>
      </w:r>
    </w:p>
    <w:p>
      <w:pPr>
        <w:numPr>
          <w:numId w:val="0"/>
        </w:numPr>
        <w:rPr>
          <w:rFonts w:hint="eastAsia" w:ascii="仿宋" w:hAnsi="仿宋" w:eastAsia="仿宋" w:cs="仿宋"/>
          <w:sz w:val="24"/>
          <w:szCs w:val="24"/>
          <w:lang w:val="en-US" w:eastAsia="zh-CN"/>
        </w:rPr>
      </w:pPr>
    </w:p>
    <w:p>
      <w:pPr>
        <w:pStyle w:val="2"/>
        <w:widowControl w:val="0"/>
        <w:wordWrap/>
        <w:adjustRightInd/>
        <w:snapToGrid w:val="0"/>
        <w:spacing w:line="360" w:lineRule="auto"/>
        <w:ind w:left="0" w:leftChars="0" w:right="0" w:firstLine="0" w:firstLineChars="0"/>
        <w:jc w:val="both"/>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rPr>
        <w:t>1、</w:t>
      </w:r>
      <w:r>
        <w:rPr>
          <w:rFonts w:hint="eastAsia" w:ascii="仿宋" w:hAnsi="仿宋" w:eastAsia="仿宋" w:cs="仿宋"/>
          <w:b w:val="0"/>
          <w:bCs/>
          <w:sz w:val="24"/>
          <w:szCs w:val="24"/>
          <w:lang w:eastAsia="zh-CN"/>
        </w:rPr>
        <w:t>中华人民共和国财政部令第81号——基本建设财务规则</w:t>
      </w:r>
    </w:p>
    <w:p>
      <w:pPr>
        <w:widowControl w:val="0"/>
        <w:wordWrap/>
        <w:adjustRightInd/>
        <w:snapToGrid w:val="0"/>
        <w:spacing w:line="360" w:lineRule="auto"/>
        <w:ind w:left="0" w:leftChars="0" w:right="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2、发改委召开全国公共资源交易平台整合工作会议</w:t>
      </w:r>
    </w:p>
    <w:p>
      <w:pPr>
        <w:widowControl w:val="0"/>
        <w:wordWrap/>
        <w:adjustRightInd/>
        <w:snapToGrid w:val="0"/>
        <w:spacing w:line="360" w:lineRule="auto"/>
        <w:ind w:left="0" w:leftChars="0" w:right="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3、PPP模式下建筑企业的竞合之道</w:t>
      </w:r>
    </w:p>
    <w:p>
      <w:pPr>
        <w:widowControl w:val="0"/>
        <w:wordWrap/>
        <w:adjustRightInd/>
        <w:snapToGrid w:val="0"/>
        <w:spacing w:line="360" w:lineRule="auto"/>
        <w:ind w:left="0" w:leftChars="0" w:right="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4、广东设PPP产业基金为管廊建设“供血”</w:t>
      </w:r>
    </w:p>
    <w:p>
      <w:pPr>
        <w:widowControl w:val="0"/>
        <w:wordWrap/>
        <w:adjustRightInd/>
        <w:snapToGrid w:val="0"/>
        <w:spacing w:line="360" w:lineRule="auto"/>
        <w:ind w:left="0" w:leftChars="0" w:right="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5、113项工程建设标准规范制订修订征求意见</w:t>
      </w:r>
    </w:p>
    <w:p>
      <w:pPr>
        <w:widowControl w:val="0"/>
        <w:wordWrap/>
        <w:adjustRightInd/>
        <w:snapToGrid w:val="0"/>
        <w:spacing w:line="360" w:lineRule="auto"/>
        <w:ind w:left="0" w:leftChars="0" w:right="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6、工程建设标准深化改革意见出台</w:t>
      </w:r>
    </w:p>
    <w:p>
      <w:pPr>
        <w:pStyle w:val="2"/>
        <w:widowControl w:val="0"/>
        <w:wordWrap/>
        <w:adjustRightInd/>
        <w:snapToGrid w:val="0"/>
        <w:spacing w:line="288" w:lineRule="auto"/>
        <w:ind w:left="0" w:leftChars="0" w:right="0" w:firstLine="0" w:firstLineChars="0"/>
        <w:jc w:val="both"/>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7</w:t>
      </w:r>
      <w:r>
        <w:rPr>
          <w:rFonts w:hint="eastAsia" w:ascii="仿宋" w:hAnsi="仿宋" w:eastAsia="仿宋" w:cs="仿宋"/>
          <w:b w:val="0"/>
          <w:bCs/>
          <w:sz w:val="24"/>
          <w:szCs w:val="24"/>
        </w:rPr>
        <w:t>、2016年第四期“全国建筑市场与招标投标行业从业人员高级培训班”在长春</w:t>
      </w:r>
    </w:p>
    <w:p>
      <w:pPr>
        <w:pStyle w:val="2"/>
        <w:widowControl w:val="0"/>
        <w:wordWrap/>
        <w:adjustRightInd/>
        <w:snapToGrid w:val="0"/>
        <w:spacing w:line="288" w:lineRule="auto"/>
        <w:ind w:left="0" w:leftChars="0" w:right="0" w:firstLine="0" w:firstLineChars="0"/>
        <w:jc w:val="both"/>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 xml:space="preserve">   </w:t>
      </w:r>
      <w:r>
        <w:rPr>
          <w:rFonts w:hint="eastAsia" w:ascii="仿宋" w:hAnsi="仿宋" w:eastAsia="仿宋" w:cs="仿宋"/>
          <w:b w:val="0"/>
          <w:bCs/>
          <w:sz w:val="24"/>
          <w:szCs w:val="24"/>
          <w:lang w:eastAsia="zh-CN"/>
        </w:rPr>
        <w:t>举</w:t>
      </w:r>
      <w:r>
        <w:rPr>
          <w:rFonts w:hint="eastAsia" w:ascii="仿宋" w:hAnsi="仿宋" w:eastAsia="仿宋" w:cs="仿宋"/>
          <w:b w:val="0"/>
          <w:bCs/>
          <w:sz w:val="24"/>
          <w:szCs w:val="24"/>
        </w:rPr>
        <w:t>办</w:t>
      </w:r>
    </w:p>
    <w:p>
      <w:pPr>
        <w:widowControl w:val="0"/>
        <w:wordWrap/>
        <w:adjustRightInd/>
        <w:snapToGrid w:val="0"/>
        <w:spacing w:line="288" w:lineRule="auto"/>
        <w:ind w:left="0" w:leftChars="0" w:right="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8、2016年第五期“全国建筑市场与招标投标行业从业人员高级培训班”在天津 </w:t>
      </w:r>
    </w:p>
    <w:p>
      <w:pPr>
        <w:widowControl w:val="0"/>
        <w:wordWrap/>
        <w:adjustRightInd/>
        <w:snapToGrid w:val="0"/>
        <w:spacing w:line="288" w:lineRule="auto"/>
        <w:ind w:left="0" w:leftChars="0" w:right="0" w:firstLine="0" w:firstLineChars="0"/>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   举办</w:t>
      </w:r>
    </w:p>
    <w:p>
      <w:pPr>
        <w:rPr>
          <w:rFonts w:hint="eastAsia" w:eastAsia="仿宋"/>
          <w:lang w:val="en-US" w:eastAsia="zh-CN"/>
        </w:rPr>
      </w:pPr>
    </w:p>
    <w:p>
      <w:pPr>
        <w:pStyle w:val="5"/>
        <w:widowControl/>
        <w:wordWrap/>
        <w:adjustRightInd/>
        <w:snapToGrid w:val="0"/>
        <w:spacing w:before="0" w:beforeAutospacing="0" w:after="0" w:afterAutospacing="0" w:line="312" w:lineRule="auto"/>
        <w:ind w:left="0" w:leftChars="0" w:right="0"/>
        <w:jc w:val="center"/>
        <w:textAlignment w:val="auto"/>
        <w:outlineLvl w:val="9"/>
        <w:rPr>
          <w:rStyle w:val="7"/>
          <w:rFonts w:hint="eastAsia" w:ascii="仿宋" w:hAnsi="仿宋" w:eastAsia="仿宋" w:cs="仿宋"/>
          <w:sz w:val="32"/>
          <w:szCs w:val="32"/>
        </w:rPr>
      </w:pPr>
    </w:p>
    <w:p>
      <w:pPr>
        <w:pStyle w:val="5"/>
        <w:widowControl/>
        <w:wordWrap/>
        <w:adjustRightInd/>
        <w:snapToGrid w:val="0"/>
        <w:spacing w:before="0" w:beforeAutospacing="0" w:after="0" w:afterAutospacing="0" w:line="312" w:lineRule="auto"/>
        <w:ind w:left="0" w:leftChars="0" w:right="0"/>
        <w:jc w:val="center"/>
        <w:textAlignment w:val="auto"/>
        <w:outlineLvl w:val="9"/>
        <w:rPr>
          <w:rStyle w:val="7"/>
          <w:rFonts w:hint="eastAsia" w:ascii="仿宋" w:hAnsi="仿宋" w:eastAsia="仿宋" w:cs="仿宋"/>
          <w:sz w:val="32"/>
          <w:szCs w:val="32"/>
        </w:rPr>
      </w:pPr>
    </w:p>
    <w:p>
      <w:pPr>
        <w:pStyle w:val="5"/>
        <w:widowControl/>
        <w:wordWrap/>
        <w:adjustRightInd/>
        <w:snapToGrid w:val="0"/>
        <w:spacing w:before="0" w:beforeAutospacing="0" w:after="0" w:afterAutospacing="0" w:line="312" w:lineRule="auto"/>
        <w:ind w:left="0" w:leftChars="0" w:right="0"/>
        <w:jc w:val="center"/>
        <w:textAlignment w:val="auto"/>
        <w:outlineLvl w:val="9"/>
        <w:rPr>
          <w:rStyle w:val="7"/>
          <w:rFonts w:hint="eastAsia" w:ascii="仿宋" w:hAnsi="仿宋" w:eastAsia="仿宋" w:cs="仿宋"/>
          <w:sz w:val="32"/>
          <w:szCs w:val="32"/>
        </w:rPr>
      </w:pPr>
    </w:p>
    <w:p>
      <w:pPr>
        <w:pStyle w:val="5"/>
        <w:widowControl/>
        <w:wordWrap/>
        <w:adjustRightInd/>
        <w:snapToGrid w:val="0"/>
        <w:spacing w:before="0" w:beforeAutospacing="0" w:after="0" w:afterAutospacing="0" w:line="312" w:lineRule="auto"/>
        <w:ind w:left="0" w:leftChars="0" w:right="0"/>
        <w:jc w:val="center"/>
        <w:textAlignment w:val="auto"/>
        <w:outlineLvl w:val="9"/>
        <w:rPr>
          <w:rStyle w:val="7"/>
          <w:rFonts w:hint="eastAsia" w:ascii="仿宋" w:hAnsi="仿宋" w:eastAsia="仿宋" w:cs="仿宋"/>
          <w:sz w:val="32"/>
          <w:szCs w:val="32"/>
          <w:lang w:eastAsia="zh-CN"/>
        </w:rPr>
      </w:pPr>
    </w:p>
    <w:p>
      <w:pPr>
        <w:pStyle w:val="5"/>
        <w:widowControl/>
        <w:wordWrap/>
        <w:adjustRightInd/>
        <w:snapToGrid w:val="0"/>
        <w:spacing w:before="0" w:beforeAutospacing="0" w:after="0" w:afterAutospacing="0" w:line="312" w:lineRule="auto"/>
        <w:ind w:left="0" w:leftChars="0" w:right="0"/>
        <w:jc w:val="center"/>
        <w:textAlignment w:val="auto"/>
        <w:outlineLvl w:val="9"/>
        <w:rPr>
          <w:rStyle w:val="7"/>
        </w:rPr>
      </w:pPr>
      <w:bookmarkStart w:id="0" w:name="_GoBack"/>
      <w:bookmarkEnd w:id="0"/>
    </w:p>
    <w:p>
      <w:pPr>
        <w:pStyle w:val="5"/>
        <w:widowControl/>
        <w:wordWrap/>
        <w:adjustRightInd/>
        <w:snapToGrid w:val="0"/>
        <w:spacing w:before="0" w:beforeAutospacing="0" w:after="0" w:afterAutospacing="0" w:line="312" w:lineRule="auto"/>
        <w:ind w:left="0" w:leftChars="0" w:right="0"/>
        <w:jc w:val="center"/>
        <w:textAlignment w:val="auto"/>
        <w:outlineLvl w:val="9"/>
      </w:pPr>
      <w:r>
        <w:rPr>
          <w:rStyle w:val="7"/>
        </w:rPr>
        <w:t>中华人民共和国财政部令第81号</w:t>
      </w:r>
    </w:p>
    <w:p>
      <w:pPr>
        <w:pStyle w:val="5"/>
        <w:widowControl/>
        <w:wordWrap/>
        <w:adjustRightInd/>
        <w:snapToGrid w:val="0"/>
        <w:spacing w:before="0" w:beforeAutospacing="0" w:after="0" w:afterAutospacing="0" w:line="312" w:lineRule="auto"/>
        <w:ind w:left="0" w:leftChars="0" w:right="0"/>
        <w:jc w:val="center"/>
        <w:textAlignment w:val="auto"/>
        <w:outlineLvl w:val="9"/>
      </w:pPr>
      <w:r>
        <w:rPr>
          <w:rStyle w:val="7"/>
        </w:rPr>
        <w:t>——基本建设财务规则</w:t>
      </w:r>
    </w:p>
    <w:p>
      <w:pPr>
        <w:pStyle w:val="5"/>
        <w:widowControl/>
        <w:wordWrap/>
        <w:adjustRightInd/>
        <w:snapToGrid w:val="0"/>
        <w:spacing w:before="0" w:beforeAutospacing="0" w:after="0" w:afterAutospacing="0" w:line="312" w:lineRule="auto"/>
        <w:ind w:left="0" w:leftChars="0" w:right="0"/>
        <w:textAlignment w:val="auto"/>
        <w:outlineLvl w:val="9"/>
      </w:pPr>
      <w:r>
        <w:t>　　《基本建设财务规则》已经财政部部务会议审议通过，现予公布，自2016年9月1日起施行。</w:t>
      </w:r>
    </w:p>
    <w:p>
      <w:pPr>
        <w:pStyle w:val="5"/>
        <w:widowControl/>
        <w:wordWrap/>
        <w:adjustRightInd/>
        <w:snapToGrid w:val="0"/>
        <w:spacing w:before="0" w:beforeAutospacing="0" w:after="0" w:afterAutospacing="0" w:line="312" w:lineRule="auto"/>
        <w:ind w:left="0" w:leftChars="0" w:right="0"/>
        <w:jc w:val="right"/>
        <w:textAlignment w:val="auto"/>
        <w:outlineLvl w:val="9"/>
      </w:pPr>
      <w:r>
        <w:t>部长 楼继伟</w:t>
      </w:r>
    </w:p>
    <w:p>
      <w:pPr>
        <w:pStyle w:val="5"/>
        <w:widowControl/>
        <w:wordWrap/>
        <w:adjustRightInd/>
        <w:snapToGrid w:val="0"/>
        <w:spacing w:before="0" w:beforeAutospacing="0" w:after="0" w:afterAutospacing="0" w:line="312" w:lineRule="auto"/>
        <w:ind w:left="0" w:leftChars="0" w:right="0"/>
        <w:jc w:val="right"/>
        <w:textAlignment w:val="auto"/>
        <w:outlineLvl w:val="9"/>
      </w:pPr>
      <w:r>
        <w:t>2016年4月26日</w:t>
      </w:r>
    </w:p>
    <w:p>
      <w:pPr>
        <w:wordWrap/>
        <w:adjustRightInd/>
        <w:snapToGrid w:val="0"/>
        <w:spacing w:before="0" w:beforeAutospacing="0" w:after="0" w:afterAutospacing="0" w:line="312" w:lineRule="auto"/>
        <w:ind w:left="0" w:leftChars="0" w:right="0" w:firstLine="480" w:firstLineChars="200"/>
        <w:jc w:val="center"/>
        <w:textAlignment w:val="auto"/>
        <w:outlineLvl w:val="9"/>
        <w:rPr>
          <w:rFonts w:hint="eastAsia" w:ascii="微软雅黑" w:hAnsi="微软雅黑" w:eastAsia="微软雅黑" w:cs="仿宋"/>
          <w:b/>
          <w:bCs/>
          <w:sz w:val="24"/>
          <w:szCs w:val="24"/>
        </w:rPr>
      </w:pPr>
    </w:p>
    <w:p>
      <w:pPr>
        <w:wordWrap/>
        <w:adjustRightInd/>
        <w:snapToGrid w:val="0"/>
        <w:spacing w:before="0" w:beforeAutospacing="0" w:after="0" w:afterAutospacing="0" w:line="312" w:lineRule="auto"/>
        <w:ind w:left="0" w:leftChars="0" w:right="0" w:firstLine="480" w:firstLineChars="200"/>
        <w:jc w:val="center"/>
        <w:textAlignment w:val="auto"/>
        <w:outlineLvl w:val="9"/>
        <w:rPr>
          <w:rFonts w:hint="eastAsia" w:ascii="微软雅黑" w:hAnsi="微软雅黑" w:eastAsia="微软雅黑" w:cs="仿宋"/>
          <w:b/>
          <w:bCs/>
          <w:sz w:val="24"/>
          <w:szCs w:val="24"/>
        </w:rPr>
      </w:pPr>
      <w:r>
        <w:rPr>
          <w:rFonts w:hint="eastAsia" w:ascii="微软雅黑" w:hAnsi="微软雅黑" w:eastAsia="微软雅黑" w:cs="仿宋"/>
          <w:b/>
          <w:bCs/>
          <w:sz w:val="24"/>
          <w:szCs w:val="24"/>
        </w:rPr>
        <w:t>基本建设财务规则</w:t>
      </w:r>
    </w:p>
    <w:p>
      <w:pPr>
        <w:wordWrap/>
        <w:adjustRightInd/>
        <w:snapToGrid w:val="0"/>
        <w:spacing w:before="0" w:beforeAutospacing="0" w:after="0" w:afterAutospacing="0" w:line="31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第一章 总则</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第一条 为了规范基本建设财务行为，加强基本建设财务管</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理，提高财政资金使用效益，保障财政资金安全，制定本规则。</w:t>
      </w:r>
    </w:p>
    <w:p>
      <w:pPr>
        <w:widowControl w:val="0"/>
        <w:numPr>
          <w:ilvl w:val="0"/>
          <w:numId w:val="1"/>
        </w:numPr>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本规则适用于行政事业单位的基本建设财务行为，</w:t>
      </w:r>
    </w:p>
    <w:p>
      <w:pPr>
        <w:widowControl w:val="0"/>
        <w:numPr>
          <w:numId w:val="0"/>
        </w:numPr>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以及国有和国有控股企业使用财政资金的基本建设财务行为。</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基本建设是指以新增工程效益或者扩大生产能力为主要目</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的的新建、续建、改扩建、迁建、大型维修改造工程及相关工作。</w:t>
      </w:r>
    </w:p>
    <w:p>
      <w:pPr>
        <w:widowControl w:val="0"/>
        <w:numPr>
          <w:ilvl w:val="0"/>
          <w:numId w:val="1"/>
        </w:numPr>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基本建设财务管理应当严格执行国家有关法律、行政法规和财务规章制度，坚持勤俭节约、量力而行、讲求实效，</w:t>
      </w:r>
    </w:p>
    <w:p>
      <w:pPr>
        <w:widowControl w:val="0"/>
        <w:numPr>
          <w:numId w:val="0"/>
        </w:numPr>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正确处理资金使用效益与资金供给的关系。</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rPr>
        <w:t>第四条 基本建设财务管理的主要任务是：</w:t>
      </w:r>
    </w:p>
    <w:p>
      <w:pPr>
        <w:widowControl w:val="0"/>
        <w:numPr>
          <w:ilvl w:val="0"/>
          <w:numId w:val="2"/>
        </w:numPr>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依法筹集和使用基本建设项目（以下简称项目）建设</w:t>
      </w:r>
    </w:p>
    <w:p>
      <w:pPr>
        <w:widowControl w:val="0"/>
        <w:numPr>
          <w:numId w:val="0"/>
        </w:numPr>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资金，防范财务风险；</w:t>
      </w:r>
    </w:p>
    <w:p>
      <w:pPr>
        <w:widowControl w:val="0"/>
        <w:wordWrap/>
        <w:adjustRightInd/>
        <w:snapToGrid w:val="0"/>
        <w:spacing w:before="0" w:beforeAutospacing="0" w:after="0" w:afterAutospacing="0" w:line="332" w:lineRule="auto"/>
        <w:ind w:left="0" w:leftChars="0" w:right="0" w:firstLine="480" w:firstLineChars="20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（二）合理编制项目资金预算，加强预算审核，严格预算执行；</w:t>
      </w:r>
    </w:p>
    <w:p>
      <w:pPr>
        <w:widowControl w:val="0"/>
        <w:wordWrap/>
        <w:adjustRightInd/>
        <w:snapToGrid w:val="0"/>
        <w:spacing w:before="0" w:beforeAutospacing="0" w:after="0" w:afterAutospacing="0" w:line="332" w:lineRule="auto"/>
        <w:ind w:left="0" w:leftChars="0" w:right="0" w:firstLine="480" w:firstLineChars="20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（三）加强项目核算管理，规范和控制建设成本；</w:t>
      </w:r>
    </w:p>
    <w:p>
      <w:pPr>
        <w:widowControl w:val="0"/>
        <w:wordWrap/>
        <w:adjustRightInd/>
        <w:snapToGrid w:val="0"/>
        <w:spacing w:before="0" w:beforeAutospacing="0" w:after="0" w:afterAutospacing="0" w:line="332" w:lineRule="auto"/>
        <w:ind w:left="0" w:leftChars="0" w:right="0" w:firstLine="480" w:firstLineChars="20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（四）及时准确编制项目竣工财务决算，全面反映基本建设财务状况；</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rPr>
        <w:t>（五）加强对基本建设活动的财务控制和监督，实施绩效评价。</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rPr>
        <w:t>第五条 财政部负责制定并指导实施基本建设财务管理制度。</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rPr>
        <w:t>各级财政部门负责对基本建设财务活动实施全过程管理和监督。</w:t>
      </w:r>
    </w:p>
    <w:p>
      <w:pPr>
        <w:widowControl w:val="0"/>
        <w:numPr>
          <w:ilvl w:val="0"/>
          <w:numId w:val="3"/>
        </w:numPr>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各级项目主管部门（含一级预算单位，下同）应当会同财政部门，加强本部门或者本行业基本建设财务管理和监</w:t>
      </w:r>
    </w:p>
    <w:p>
      <w:pPr>
        <w:widowControl w:val="0"/>
        <w:numPr>
          <w:numId w:val="0"/>
        </w:numPr>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督，指导和督促项目建设单位做好基本建设财务管理的基础工作。</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rPr>
        <w:t>第七条 项目建设单位应当做好以下基本建设财务管理的基础工作：</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rPr>
        <w:t>（一）建立、健全本单位基本建设财务管理制度和内部控制制度；</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rPr>
        <w:t>（二）按项目单独核算，按照规定将核算情况纳入单位账簿和财务报表；</w:t>
      </w:r>
    </w:p>
    <w:p>
      <w:pPr>
        <w:widowControl w:val="0"/>
        <w:numPr>
          <w:numId w:val="0"/>
        </w:numPr>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 xml:space="preserve">    （三）</w:t>
      </w:r>
      <w:r>
        <w:rPr>
          <w:rFonts w:hint="eastAsia" w:ascii="仿宋" w:hAnsi="仿宋" w:eastAsia="仿宋" w:cs="仿宋"/>
          <w:b w:val="0"/>
          <w:bCs w:val="0"/>
          <w:sz w:val="30"/>
          <w:szCs w:val="30"/>
        </w:rPr>
        <w:t>按照规定编制项目资金预算，根据批准的项目概(预)算做好核算管理，及时掌握建设进度，定期进行财产物资清查，做好核算资料档案管理；</w:t>
      </w:r>
    </w:p>
    <w:p>
      <w:pPr>
        <w:widowControl w:val="0"/>
        <w:numPr>
          <w:ilvl w:val="0"/>
          <w:numId w:val="4"/>
        </w:numPr>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按照规定向财政部门、项目主管部门报送基本建设财</w:t>
      </w:r>
    </w:p>
    <w:p>
      <w:pPr>
        <w:widowControl w:val="0"/>
        <w:numPr>
          <w:numId w:val="0"/>
        </w:numPr>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务报表和资料；</w:t>
      </w:r>
    </w:p>
    <w:p>
      <w:pPr>
        <w:widowControl w:val="0"/>
        <w:numPr>
          <w:ilvl w:val="0"/>
          <w:numId w:val="4"/>
        </w:numPr>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及时办理工程价款结算，编报项目竣工财务决算，办</w:t>
      </w:r>
    </w:p>
    <w:p>
      <w:pPr>
        <w:widowControl w:val="0"/>
        <w:numPr>
          <w:numId w:val="0"/>
        </w:numPr>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理资产交付使用手续；</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rPr>
        <w:t>（六）财政部门和项目主管部门要求的其他工作。</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按照规定实行代理记账和项目代建制的，代理记账单位和代</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建单位应当配合项目建设单位做好项目财务管理的基础工作。</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第二章 建设资金筹集与使用管理</w:t>
      </w:r>
    </w:p>
    <w:p>
      <w:pPr>
        <w:widowControl w:val="0"/>
        <w:numPr>
          <w:ilvl w:val="0"/>
          <w:numId w:val="5"/>
        </w:numPr>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建设资金是指为满足项目建设需要筹集和使用的资金,按照来源分为财政资金和自筹资金。其中，财政资金包括一般公共预算安排的基本建设投资资金和其他专项建设资金，政府</w:t>
      </w:r>
    </w:p>
    <w:p>
      <w:pPr>
        <w:widowControl w:val="0"/>
        <w:numPr>
          <w:numId w:val="0"/>
        </w:numPr>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性基金预算安排的建设资金，政府依法举债取得的建设资金，以及国有资本经营预算安排的基本建设项目资金。</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rPr>
        <w:t>第九条 财政资金管理应当遵循专款专用原则，严格按照批准的项目预算执行，不得挤占挪用。</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rPr>
        <w:t>财政部门应当会同项目主管部门加强项目财政资金的监督管理。</w:t>
      </w:r>
    </w:p>
    <w:p>
      <w:pPr>
        <w:widowControl w:val="0"/>
        <w:numPr>
          <w:ilvl w:val="0"/>
          <w:numId w:val="6"/>
        </w:numPr>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财政资金的支付，按照国库集中支付制度有关规定</w:t>
      </w:r>
    </w:p>
    <w:p>
      <w:pPr>
        <w:widowControl w:val="0"/>
        <w:numPr>
          <w:numId w:val="0"/>
        </w:numPr>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和合同约定，综合考虑项目财政资金预算、建设进度等因素执行。</w:t>
      </w:r>
    </w:p>
    <w:p>
      <w:pPr>
        <w:widowControl w:val="0"/>
        <w:numPr>
          <w:ilvl w:val="0"/>
          <w:numId w:val="6"/>
        </w:numPr>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项目建设单位应当根据批准的项目概（预）算、</w:t>
      </w:r>
    </w:p>
    <w:p>
      <w:pPr>
        <w:widowControl w:val="0"/>
        <w:numPr>
          <w:numId w:val="0"/>
        </w:numPr>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年度投资计划和预算、建设进度等控制项目投资规模。</w:t>
      </w:r>
    </w:p>
    <w:p>
      <w:pPr>
        <w:widowControl w:val="0"/>
        <w:numPr>
          <w:ilvl w:val="0"/>
          <w:numId w:val="6"/>
        </w:numPr>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项目建设单位在决策阶段应当明确建设资金来源，落实建设资金，合理控制筹资成本。非经营性项目建设资金</w:t>
      </w:r>
    </w:p>
    <w:p>
      <w:pPr>
        <w:widowControl w:val="0"/>
        <w:numPr>
          <w:numId w:val="0"/>
        </w:numPr>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按照国家有关规定筹集；经营性项目在防范风险的前提下，可以多渠道筹集。</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具体项目的经营性和非经营性性质划分，由项目主管部门会</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同财政部门根据项目建设目的、运营模式和盈利能力等因素核定。</w:t>
      </w:r>
    </w:p>
    <w:p>
      <w:pPr>
        <w:widowControl w:val="0"/>
        <w:numPr>
          <w:ilvl w:val="0"/>
          <w:numId w:val="6"/>
        </w:numPr>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核定为经营性项目的，项目建设单位应当按照国</w:t>
      </w:r>
    </w:p>
    <w:p>
      <w:pPr>
        <w:widowControl w:val="0"/>
        <w:numPr>
          <w:numId w:val="0"/>
        </w:numPr>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家有关固定资产投资项目资本管理的规定，筹集一定比例的非债务性资金作为项目资本。</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在项目建设期间，项目资本的投资者除依法转让、依法终止</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外，不得以任何方式抽走出资。</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经营性项目的投资者以实物、知识产权、土地使用权等非货</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币财产作价出资的，应当委托具有专业能力的资产评估机构依法评估作价。</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rPr>
        <w:t>第十四条 项目建设单位取得的财政资金，区分以下情况处理：</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经营性项目具备企业法人资格的，按照国家有关企业财务规定处理。不具备企业法人资格的，属于国家直接投资的，作为项目国家资本管理；属于投资补助的，国家拨款时对权属有规定的，</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按照规定执行，没有规定的，由项目投资者享有；属于有偿性资助的，作为项目负债管理。</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经营性项目取得的财政贴息，项目建设期间收到的，冲减项</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目建设成本；项目竣工后收到的，按照国家财务、会计制度的有关规定处理。</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非经营性项目取得的财政资金，按照国家行政、事业单位财</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务、会计制度的有关规定处理。</w:t>
      </w:r>
    </w:p>
    <w:p>
      <w:pPr>
        <w:widowControl w:val="0"/>
        <w:numPr>
          <w:ilvl w:val="0"/>
          <w:numId w:val="7"/>
        </w:numPr>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项目收到的社会捐赠，有捐赠协议或者捐赠者有指定要求的，按照协议或者要求处理；无协议和要求的，按照国</w:t>
      </w:r>
    </w:p>
    <w:p>
      <w:pPr>
        <w:widowControl w:val="0"/>
        <w:numPr>
          <w:numId w:val="0"/>
        </w:numPr>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家财务、会计制度的有关规定处理。</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第三章 预算管理</w:t>
      </w:r>
    </w:p>
    <w:p>
      <w:pPr>
        <w:widowControl w:val="0"/>
        <w:numPr>
          <w:ilvl w:val="0"/>
          <w:numId w:val="7"/>
        </w:numPr>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项目建设单位编制项目预算应当以批准的概算为基础, 按照项目实际建设资金需求编制，并控制在批准的概算总</w:t>
      </w:r>
    </w:p>
    <w:p>
      <w:pPr>
        <w:widowControl w:val="0"/>
        <w:numPr>
          <w:numId w:val="0"/>
        </w:numPr>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投资规模、范围和标准以内。</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项目建设单位应当细化项目预算,分解项目各年度预算和财</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政资金预算需求。涉及政府采购的，应当按照规定编制政府采购预算。</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项目资金预算应当纳入项目主管部门的部门预算或者国有</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资本经营预算统一管理。列入部门预算的项目，一般应当从项目库中产生。</w:t>
      </w:r>
    </w:p>
    <w:p>
      <w:pPr>
        <w:widowControl w:val="0"/>
        <w:numPr>
          <w:ilvl w:val="0"/>
          <w:numId w:val="8"/>
        </w:numPr>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项目建设单位应当根据项目概算、建设工期、年度投资和自筹资金计划、以前年度项目各类资金结转情况等，提</w:t>
      </w:r>
    </w:p>
    <w:p>
      <w:pPr>
        <w:widowControl w:val="0"/>
        <w:numPr>
          <w:numId w:val="0"/>
        </w:numPr>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出项目财政资金预算建议数，按照规定程序经项目主管部门审核汇总报财政部门。</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项目建设单位根据财政部门下达的预算控制数编制预算，由</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项目主管部门审核汇总报财政部门，经法定程序审核批复后执行。</w:t>
      </w:r>
    </w:p>
    <w:p>
      <w:pPr>
        <w:widowControl w:val="0"/>
        <w:numPr>
          <w:ilvl w:val="0"/>
          <w:numId w:val="8"/>
        </w:numPr>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项目建设单位应当严格执行项目财政资金预算。对发生停建、缓建、迁移、合并、分立、重大设计变更等变动事项和其他特殊情况确需调整的项目，项目建设单位应当按照规定</w:t>
      </w:r>
    </w:p>
    <w:p>
      <w:pPr>
        <w:widowControl w:val="0"/>
        <w:numPr>
          <w:numId w:val="0"/>
        </w:numPr>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程序报项目主管部门审核后，向财政部门申请调整项目财政资金预算。</w:t>
      </w:r>
    </w:p>
    <w:p>
      <w:pPr>
        <w:widowControl w:val="0"/>
        <w:numPr>
          <w:ilvl w:val="0"/>
          <w:numId w:val="8"/>
        </w:numPr>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财政部门应当加强财政资金预算审核和执行管</w:t>
      </w:r>
    </w:p>
    <w:p>
      <w:pPr>
        <w:widowControl w:val="0"/>
        <w:numPr>
          <w:numId w:val="0"/>
        </w:numPr>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理，严格预算约束。</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财政资金预算安排应当以项目以前年度财政资金预算执行情况、项目预算评审意见和绩效评价结果作为重要依据。项目财</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政资金未按预算要求执行的，按照有关规定调减或者收回。</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第二十条 项目主管部门应当按照预算管理规定,督促和指导项目建设单位做好项目财政资金预算编制、执行和调整，严格审核项目财政资金预算、细化预算和预算调整的申请，及时掌握</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项目预算执行动态，跟踪分析项目进度，按照要求向财政部门报送执行情况。</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第四章 建设成本管理</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第二十一条 建设成本是指按照批准的建设内容由项目建设资金安排的各项支出，包括建筑安装工程投资支出、设备投资支</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出、待摊投资支出和其他投资支出。</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建筑安装工程投资支出是指项目建设单位按照批准的建设</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内容发生的建筑工程和安装工程的实际成本。</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设备投资支出是指项目建设单位按照批准的建设内容发生</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的各种设备的实际成本。</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待摊投资支出是指项目建设单位按照批准的建设内容发生</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的，应当分摊计入相关资产价值的各项费用和税金支出。</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其他投资支出是指项目建设单位按照批准的建设内容发生的房屋购置支出，基本畜禽、林木等的购置、饲养、培育支出，</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办公生活用家具、器具购置支出，软件研发和不能计入设备投资的软件购置等支出。</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第二十二条 项目建设单位应当严格控制建设成本的范围、</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标准和支出责任，以下支出不得列入项目建设成本：</w:t>
      </w:r>
    </w:p>
    <w:p>
      <w:pPr>
        <w:widowControl w:val="0"/>
        <w:wordWrap/>
        <w:adjustRightInd/>
        <w:snapToGrid w:val="0"/>
        <w:spacing w:before="0" w:beforeAutospacing="0" w:after="0" w:afterAutospacing="0" w:line="332" w:lineRule="auto"/>
        <w:ind w:left="0" w:leftChars="0" w:right="0" w:firstLine="480" w:firstLineChars="20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（一）超过批准建设内容发生的支出；</w:t>
      </w:r>
    </w:p>
    <w:p>
      <w:pPr>
        <w:widowControl w:val="0"/>
        <w:wordWrap/>
        <w:adjustRightInd/>
        <w:snapToGrid w:val="0"/>
        <w:spacing w:before="0" w:beforeAutospacing="0" w:after="0" w:afterAutospacing="0" w:line="332" w:lineRule="auto"/>
        <w:ind w:left="0" w:leftChars="0" w:right="0" w:firstLine="480" w:firstLineChars="20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（二）不符合合同协议的支出；</w:t>
      </w:r>
    </w:p>
    <w:p>
      <w:pPr>
        <w:widowControl w:val="0"/>
        <w:wordWrap/>
        <w:adjustRightInd/>
        <w:snapToGrid w:val="0"/>
        <w:spacing w:before="0" w:beforeAutospacing="0" w:after="0" w:afterAutospacing="0" w:line="332" w:lineRule="auto"/>
        <w:ind w:left="0" w:leftChars="0" w:right="0" w:firstLine="480" w:firstLineChars="20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（三）非法收费和摊派；</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（四）无发票或者发票项目不全、无审批手续、无责任人员</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签字的支出；</w:t>
      </w:r>
    </w:p>
    <w:p>
      <w:pPr>
        <w:widowControl w:val="0"/>
        <w:numPr>
          <w:ilvl w:val="0"/>
          <w:numId w:val="9"/>
        </w:numPr>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因设计单位、施工单位、供货单位等原因造成的工程</w:t>
      </w:r>
    </w:p>
    <w:p>
      <w:pPr>
        <w:widowControl w:val="0"/>
        <w:numPr>
          <w:numId w:val="0"/>
        </w:numPr>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报废等损失，以及未按照规定报经批准的损失；</w:t>
      </w:r>
    </w:p>
    <w:p>
      <w:pPr>
        <w:widowControl w:val="0"/>
        <w:wordWrap/>
        <w:adjustRightInd/>
        <w:snapToGrid w:val="0"/>
        <w:spacing w:before="0" w:beforeAutospacing="0" w:after="0" w:afterAutospacing="0" w:line="332" w:lineRule="auto"/>
        <w:ind w:left="0" w:leftChars="0" w:right="0" w:firstLine="480" w:firstLineChars="20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（六）项目符合规定的验收条件之日起3个月后发生的支出；</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rPr>
        <w:t>（七）其他不属于本项目应当负担的支出。</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第二十三条 财政资金用于项目前期工作经费部分，在项目</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批准建设后，列入项目建设成本。</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没有被批准或者批准后又被取消的项目，财政资金如有结</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余，全部缴回国库。</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第五章 基建收入管理</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第二十四条 基建收入是指在基本建设过程中形成的各项工</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程建设副产品变价收入、负荷试车和试运行收入以及其他收入。</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工程建设副产品变价收入包括矿山建设中的矿产品收入，油气、油田钻井建设中的原油气收入，林业工程建设中的路影材收</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入，以及其他项目建设过程中产生或者伴生的副产品、试验产品的变价收入。</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负荷试车和试运行收入包括水利、电力建设移交生产前的供水、供电、供热收入，原材料、机电轻纺、农林建设移交生产前</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的产品收入，交通临时运营收入等。</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其他收入包括项目总体建设尚未完成或者移交生产，但其中</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部分工程简易投产而发生的经营性收入等。</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符合验收条件而未按照规定及时办理竣工验收的经营性项</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目所实现的收入，不得作为项目基建收入管理。</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第二十五条 项目所取得的基建收入扣除相关费用并依法纳</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税后，其净收入按照国家财务、会计制度的有关规定处理。</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第二十六条 项目发生的各项索赔、违约金等收入，首先用</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于弥补工程损失，结余部分按照国家财务、会计制度的有关规定处理。</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第六章 工程价款结算管理</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第二十七条 工程价款结算是指依据基本建设工程发承包合</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同等进行工程预付款、进度款、竣工价款结算的活动。</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第二十八条 项目建设单位应当严格按照合同约定和工程价款结算程序支付工程款。竣工价款结算一般应当在项目竣工验收</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后2个月内完成，大型项目一般不得超过3个月。</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第二十九条 项目建设单位可以与施工单位在合同中约定按照不超过工程价款结算总额的5%预留工程质量保证金，待工程</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交付使用缺陷责任期满后清算。资信好的施工单位可以用银行保函替代工程质量保证金。</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第三十条 项目主管部门应当会同财政部门加强工程价款结算的监督，重点审查工程招投标文件、工程量及各项费用的计取、</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合同协议、施工变更签证、人工和材料价差、工程索赔等。</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第七章 竣工财务决算管理</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第三十一条 项目竣工财务决算是正确核定项目资产价值、反映竣工项目建设成果的文件，是办理资产移交和产权登记的依</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据，包括竣工财务决算报表、竣工财务决算说明书以及相关材料。</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项目竣工财务决算应当数字准确、内容完整。竣工财务决算</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的编制要求另行规定。</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第三十二条 项目年度资金使用情况应当按照要求编入部门</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决算或者国有资本经营决算。</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第三十三条 项目建设单位在项目竣工后，应当及时编制项</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目竣工财务决算，并按照规定报送项目主管部门。</w:t>
      </w:r>
    </w:p>
    <w:p>
      <w:pPr>
        <w:widowControl w:val="0"/>
        <w:wordWrap/>
        <w:adjustRightInd/>
        <w:snapToGrid w:val="0"/>
        <w:spacing w:before="0" w:beforeAutospacing="0" w:after="0" w:afterAutospacing="0" w:line="332" w:lineRule="auto"/>
        <w:ind w:left="0" w:leftChars="0" w:right="0" w:firstLine="480" w:firstLineChars="20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项目设计、施工、监理等单位应当配合项目建设单位做好相关工作。</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建设周期长、建设内容多的大型项目，单项工程竣工具备交付使用条件的，可以编报单项工程竣工财务决算，项目全部竣工</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后应当编报竣工财务总决算。</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第三十四条 在编制项目竣工财务决算前，项目建设单位应当认真做好各项清理工作，包括账目核对及账务调整、财产物资</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核实处理、债权实现和债务清偿、档案资料归集整理等。</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第三十五条 在编制项目竣工财务决算时，项目建设单位应当按照规定将待摊投资支出按合理比例分摊计入交付使用资产</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价值、转出投资价值和待核销基建支出。</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第三十六条 项目竣工财务决算审核、批复管理职责和程序</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要求由同级财政部门确定。</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第三十七条 财政部门和项目主管部门对项目竣工财务决算实行先审核、后批复的办法，可以委托预算评审机构或者有专业</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能力的社会中介机构进行审核。对符合条件的，应当在6个月内批复。</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第三十八条 项目一般不得预留尾工工程，确需预留尾工工</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程的，尾工工程投资不得超过批准的项目概（预）算总投资的5%。</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项目主管部门应当督促项目建设单位抓紧实施项目尾工工</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程，加强对尾工工程资金使用的监督管理。</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第三十九条 已具备竣工验收条件的项目，应当及时组织验</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收，移交生产和使用。</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第四十条 项目隶属关系发生变化时，应当按照规定及时办理财务关系划转，主要包括各项资金来源、已交付使用资产、在</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建工程、结余资金、各项债权及债务等的清理交接。</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第八章 资产交付管理</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第四十一条 资产交付是指项目竣工验收合格后，将形成的</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资产交付或者转交生产使用单位的行为。</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rPr>
        <w:t>交付使用的资产包括固定资产、流动资产、无形资产等。</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第四十二条 项目竣工验收合格后应当及时办理资产交付使</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用手续，并依据批复的项目竣工财务决算进行账务调整。</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第四十三条 非经营性项目发生的江河清障疏浚、航道整治、飞播造林、退耕还林(草)、封山(沙)育林(草)、水土保持、城市绿化、毁损道路修复、护坡及清理等不能形成资产的支出，以及项目未被批准、项目取消和项目报废前已发生的支出，作为待核销基建支出处理；形成资产产权归属本单位的，计入交付使用</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资产价值；形成资产产权不归属本单位的，作为转出投资处理。</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非经营性项目发生的农村沼气工程、农村安全饮水工程、农村危房改造工程、游牧民定居工程、渔民上岸工程等涉及家庭或者个人的支出，形成资产产权归属家庭或者个人的，作为待核销</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基建支出处理；形成资产产权归属本单位的，计入交付使用资产价值；形成资产产权归属其他单位的，作为转出投资处理。</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第四十四条 非经营性项目为项目配套建设的专用设施，包括专用道路、专用通讯设施、专用电力设施、地下管道等，产权</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归属本单位的，计入交付使用资产价值；产权不归属本单位的，作为转出投资处理。</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非经营性项目移民安置补偿中由项目建设单位负责建设并形成的实物资产，产权归属集体或者单位的，作为转出投资处理；</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产权归属移民的，作为待核销基建支出处理。</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第四十五条 经营性项目发生的项目取消和报废等不能形成资产的支出，以及设备采购和系统集成（软件）中包含的交付使</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用后运行维护等费用，按照国家财务、会计制度的有关规定处理。</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第四十六条 经营性项目为项目配套建设的专用设施，包括专用铁路线、专用道路、专用通讯设施、专用电力设施、地下管道、专用码头等，项目建设单位应当与有关部门明确产权关系，</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并按照国家财务、会计制度的有关规定处理。</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第九章 结余资金管理</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第四十七条 结余资金是指项目竣工结余的建设资金，不包</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括工程抵扣的增值税进项税额资金。</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rPr>
        <w:t>第四十八条 经营性项目结余资金，转入单位的相关资产。</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非经营性项目结余资金，首先用于归还项目贷款。如有结余，按照项目资金来源属于财政资金的部分，应当在项目竣工验收合</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格后3个月内，按照预算管理制度有关规定收回财政。</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rPr>
        <w:t>第四十九条 项目终止、报废或者未按照批准的建设内容建设形成的剩余建设资金中，按照项目实际资金来源比例确认的财政资金应当收回财政。</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第十章 绩效评价</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第五十条 项目绩效评价是指财政部门、项目主管部门根据设定的项目绩效目标，运用科学合理的评价方法和评价标准，对</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项目建设全过程中资金筹集、使用及核算的规范性、有效性，以及投入运营效果等进行评价的活动。</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第五十一条 项目绩效评价应当坚持科学规范、公正公开、</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分级分类和绩效相关的原则，坚持经济效益、社会效益和生态效益相结合的原则。</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第五十二条 项目绩效评价应当重点对项目建设成本、工程造价、投资控制、达产能力与设计能力差异、偿债能力、持续经营能力等实施绩效评价，根据管理需要和项目特点选用社会效益指标、财务效益指标、工程质量指标、建设工期指标、资金来源指标、资金使用指标、实际投资回收期指标、实际单位生产（营</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运）能力投资指标等评价指标。</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第五十三条 财政部门负责制定项目绩效评价管理办法，对项目绩效评价工作进行指导和监督，选择部分项目开展重点绩效</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评价，依法公开绩效评价结果。绩效评价结果作为项目财政资金预算安排和资金拨付的重要依据。</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第五十四条 项目主管部门会同财政部门按照有关规定，制定本部门或者本行业项目绩效评价具体实施办法，建立具体的绩效评价指标体系，确定项目绩效目标，具体组织实施本部门或者</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本行业绩效评价工作，并向财政部门报送绩效评价结果。</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第十一章 监督管理</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第五十五条 项目监督管理主要包括对项目资金筹集与使用、预算编制与执行、建设成本控制、工程价款结算、竣工财务</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决算编报审核、资产交付等的监督管理。</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第五十六条 项目建设单位应当建立、健全内部控制和项目</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财务信息报告制度，依法接受财政部门和项目主管部门等的财务监督管理。</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第五十七条 财政部门和项目主管部门应当加强项目的监督管理，采取事前、事中、事后相结合，日常监督与专项监督相结</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合的方式，对项目财务行为实施全过程监督管理。</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第五十八条 财政部门应当加强对基本建设财政资金形成的资产的管理，按照规定对项目资产开展登记、核算、评估、处置、</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统计、报告等资产管理基础工作。</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第五十九条 对于违反本规则的基本建设财务行为，依照《预</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算法》、《财政违法行为处罚处分条例》等有关规定追究责任。</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第十二章 附则</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第六十条 接受国家经常性资助的社会力量举办的公益服务性组织和社会团体的基本建设财务行为，以及非国有企业使用财</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政资金的基本建设财务行为，参照本规则执行。</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使用外国政府及国际金融组织贷款的基本建设财务行为执</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行本规则。国家另有规定的，从其规定。</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第六十一条 项目建设内容仅为设备购置的，不执行本规则；项目建设内容以设备购置、房屋及其他建筑物购置为主并附有部</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分建筑安装工程的，可以简化执行本规则。</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经营性项目的项目资本中，财政资金所占比例未超过50%的，项目建设单位可以简化执行本规则，但应当按照要求向财政部</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门、项目主管部门报送相关财务资料。国家另有规定的，从其规定。</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第六十二条 中央项目主管部门和各省、自治区、直辖市、计划单列市财政厅(局)可以根据本规则，结合本行业、本地区的</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项目情况，制定具体实施办法并报财政部备案。</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第六十三条 本规则自2016年9月1日起施行。2002年9月27日财政部发布的《基本建设财务管理规定》（财建〔2002〕</w:t>
      </w:r>
    </w:p>
    <w:p>
      <w:pPr>
        <w:widowControl w:val="0"/>
        <w:wordWrap/>
        <w:adjustRightInd/>
        <w:snapToGrid w:val="0"/>
        <w:spacing w:before="0" w:beforeAutospacing="0" w:after="0" w:afterAutospacing="0" w:line="332" w:lineRule="auto"/>
        <w:ind w:left="0" w:leftChars="0"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394号）及其解释同时废止。</w:t>
      </w:r>
    </w:p>
    <w:p>
      <w:pPr>
        <w:widowControl w:val="0"/>
        <w:wordWrap/>
        <w:adjustRightInd/>
        <w:snapToGrid w:val="0"/>
        <w:spacing w:before="0" w:beforeAutospacing="0" w:after="0" w:afterAutospacing="0" w:line="332" w:lineRule="auto"/>
        <w:ind w:left="0" w:leftChars="0" w:right="0" w:firstLine="480" w:firstLineChars="20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本规则施行前财政部制定的有关规定与本规则不一致的，按照本规则执行。《企业财务通则》（财政部令第41号）、《金融企业财务规则》（财政部令第42号）、《事业单位财务规则》</w:t>
      </w:r>
    </w:p>
    <w:p>
      <w:pPr>
        <w:widowControl w:val="0"/>
        <w:wordWrap/>
        <w:adjustRightInd/>
        <w:snapToGrid w:val="0"/>
        <w:spacing w:before="0" w:beforeAutospacing="0" w:after="0" w:afterAutospacing="0" w:line="332" w:lineRule="auto"/>
        <w:ind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（财政部令第68号）和《行政单位财务规则》（财政部令第71号）另有规定的，从其规定。</w:t>
      </w:r>
    </w:p>
    <w:p>
      <w:pPr>
        <w:wordWrap/>
        <w:adjustRightInd/>
        <w:snapToGrid w:val="0"/>
        <w:spacing w:before="0" w:beforeAutospacing="0" w:after="0" w:afterAutospacing="0" w:line="312" w:lineRule="auto"/>
        <w:ind w:left="0" w:leftChars="0" w:right="0" w:firstLine="480" w:firstLineChars="200"/>
        <w:jc w:val="right"/>
        <w:textAlignment w:val="auto"/>
        <w:outlineLvl w:val="9"/>
        <w:rPr>
          <w:rFonts w:hint="eastAsia" w:ascii="仿宋" w:hAnsi="仿宋" w:eastAsia="仿宋" w:cs="仿宋"/>
          <w:b w:val="0"/>
          <w:bCs w:val="0"/>
          <w:sz w:val="30"/>
          <w:szCs w:val="30"/>
          <w:lang w:eastAsia="zh-CN"/>
        </w:rPr>
      </w:pPr>
      <w:r>
        <w:rPr>
          <w:rFonts w:hint="eastAsia" w:ascii="仿宋" w:hAnsi="仿宋" w:eastAsia="仿宋" w:cs="仿宋"/>
          <w:b w:val="0"/>
          <w:bCs w:val="0"/>
          <w:sz w:val="30"/>
          <w:szCs w:val="30"/>
          <w:lang w:eastAsia="zh-CN"/>
        </w:rPr>
        <w:t>来源：建筑管理</w:t>
      </w:r>
    </w:p>
    <w:p>
      <w:pPr>
        <w:wordWrap/>
        <w:adjustRightInd/>
        <w:snapToGrid w:val="0"/>
        <w:spacing w:before="0" w:beforeAutospacing="0" w:after="0" w:afterAutospacing="0" w:line="312" w:lineRule="auto"/>
        <w:ind w:left="0" w:leftChars="0" w:right="0" w:firstLine="480" w:firstLineChars="200"/>
        <w:jc w:val="both"/>
        <w:textAlignment w:val="auto"/>
        <w:outlineLvl w:val="9"/>
        <w:rPr>
          <w:rFonts w:hint="eastAsia" w:ascii="仿宋" w:hAnsi="仿宋" w:eastAsia="仿宋" w:cs="仿宋"/>
          <w:b w:val="0"/>
          <w:bCs w:val="0"/>
          <w:sz w:val="30"/>
          <w:szCs w:val="30"/>
          <w:lang w:eastAsia="zh-CN"/>
        </w:rPr>
      </w:pPr>
    </w:p>
    <w:p>
      <w:pPr>
        <w:wordWrap/>
        <w:adjustRightInd/>
        <w:snapToGrid w:val="0"/>
        <w:spacing w:before="0" w:beforeAutospacing="0" w:after="0" w:afterAutospacing="0" w:line="312" w:lineRule="auto"/>
        <w:ind w:left="0" w:leftChars="0" w:right="0" w:firstLine="480" w:firstLineChars="200"/>
        <w:jc w:val="center"/>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发改委召开全国公共资源交易平台整合工作会议</w:t>
      </w:r>
    </w:p>
    <w:p>
      <w:pPr>
        <w:wordWrap/>
        <w:adjustRightInd/>
        <w:snapToGrid w:val="0"/>
        <w:spacing w:before="0" w:beforeAutospacing="0" w:after="0" w:afterAutospacing="0" w:line="312" w:lineRule="auto"/>
        <w:ind w:left="0" w:leftChars="0" w:right="0" w:firstLine="480" w:firstLineChars="200"/>
        <w:jc w:val="both"/>
        <w:textAlignment w:val="auto"/>
        <w:outlineLvl w:val="9"/>
        <w:rPr>
          <w:rFonts w:hint="eastAsia" w:ascii="微软雅黑" w:hAnsi="微软雅黑" w:eastAsia="微软雅黑" w:cs="仿宋"/>
          <w:b/>
          <w:bCs/>
          <w:sz w:val="24"/>
          <w:szCs w:val="24"/>
        </w:rPr>
      </w:pPr>
    </w:p>
    <w:p>
      <w:pPr>
        <w:wordWrap/>
        <w:adjustRightInd/>
        <w:snapToGrid w:val="0"/>
        <w:spacing w:before="0" w:beforeAutospacing="0" w:after="0" w:afterAutospacing="0" w:line="312" w:lineRule="auto"/>
        <w:ind w:left="0" w:leftChars="0" w:right="0" w:firstLine="480" w:firstLineChars="20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9月7日，国家发展改革委在广东召开全国公共资源交易平台整合工作会议，总结全国公共资源交易平台整合情况，部署平台系统纵向贯通工作。国家发展改革委副主任林念修、广东省副省长蓝佛安出席会议并讲话。</w:t>
      </w:r>
    </w:p>
    <w:p>
      <w:pPr>
        <w:wordWrap/>
        <w:adjustRightInd/>
        <w:snapToGrid w:val="0"/>
        <w:spacing w:before="0" w:beforeAutospacing="0" w:after="0" w:afterAutospacing="0" w:line="312" w:lineRule="auto"/>
        <w:ind w:left="0" w:leftChars="0" w:right="0" w:firstLine="480" w:firstLineChars="20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蓝佛安在致辞中代表省委、省政府对国家发展改革委等部门和各兄弟省市给予广东经济社会发展的关心支持表示感谢。广东紧紧抓住作为公共资源交易平台整合工作试点省的契机，以整合共享资源、统一制度规则、创新体制机制为重点，注重信息化先行、法治化保障、规范化运作、立体化监管和市场化创新，着力构筑规则统一、公开透明、服务高效、监管规范的公共资源交易平台体系，在转变政府职能、规范权力运行、完善市场机制、建设廉洁政府等方面发挥了重要推动作用。广东将进一步完善体制机制、作好试点示范，加快形成统一开放、竞争有序、公开透明的公共资源交易市场，努力为国家层面改革探索提供更多新经验、新路子。</w:t>
      </w:r>
    </w:p>
    <w:p>
      <w:pPr>
        <w:wordWrap/>
        <w:adjustRightInd/>
        <w:snapToGrid w:val="0"/>
        <w:spacing w:before="0" w:beforeAutospacing="0" w:after="0" w:afterAutospacing="0" w:line="312" w:lineRule="auto"/>
        <w:ind w:left="0" w:leftChars="0" w:right="0" w:firstLine="480" w:firstLineChars="20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林念修就平台系统贯通工作进行了安排部署。他要求各地各部门要加强组织领导、强化沟通协调、健全工作机制，按照国务院要求按期保质完成八方面重点任务：一是抓紧实现公共资源交易平台系统数据纵向采集交互；二是建立横向互通的政务信息共享和业务协同机制；三是推进公共资源交易全流程网上运行；四是开展大数据分析强化决策支持工作；五是做好公共资源交易信息服务系统建设工作；六是建设公共资源交易主体信息数据库；七是开展CA互认共享试点工作；八是加快出台一批保障平台系统运行的制度办法。</w:t>
      </w:r>
    </w:p>
    <w:p>
      <w:pPr>
        <w:wordWrap/>
        <w:adjustRightInd/>
        <w:snapToGrid w:val="0"/>
        <w:spacing w:before="0" w:beforeAutospacing="0" w:after="0" w:afterAutospacing="0" w:line="312" w:lineRule="auto"/>
        <w:ind w:left="0" w:leftChars="0" w:right="0" w:firstLine="480" w:firstLineChars="200"/>
        <w:jc w:val="both"/>
        <w:textAlignment w:val="auto"/>
        <w:outlineLvl w:val="9"/>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来源：</w:t>
      </w:r>
      <w:r>
        <w:rPr>
          <w:rFonts w:hint="eastAsia" w:ascii="仿宋" w:hAnsi="仿宋" w:eastAsia="仿宋" w:cs="仿宋"/>
          <w:sz w:val="30"/>
          <w:szCs w:val="30"/>
        </w:rPr>
        <w:t>南方日报(广州)</w:t>
      </w:r>
    </w:p>
    <w:p>
      <w:pPr>
        <w:wordWrap/>
        <w:adjustRightInd/>
        <w:snapToGrid w:val="0"/>
        <w:spacing w:before="0" w:beforeAutospacing="0" w:after="0" w:afterAutospacing="0" w:line="312" w:lineRule="auto"/>
        <w:ind w:left="0" w:leftChars="0" w:right="0" w:firstLine="480" w:firstLineChars="200"/>
        <w:jc w:val="center"/>
        <w:textAlignment w:val="auto"/>
        <w:outlineLvl w:val="9"/>
        <w:rPr>
          <w:rFonts w:hint="eastAsia" w:ascii="微软雅黑" w:hAnsi="微软雅黑" w:eastAsia="微软雅黑" w:cs="仿宋"/>
          <w:b/>
          <w:bCs/>
          <w:sz w:val="24"/>
          <w:szCs w:val="24"/>
        </w:rPr>
      </w:pPr>
    </w:p>
    <w:p>
      <w:pPr>
        <w:wordWrap/>
        <w:adjustRightInd/>
        <w:snapToGrid w:val="0"/>
        <w:spacing w:before="0" w:beforeAutospacing="0" w:after="0" w:afterAutospacing="0" w:line="312" w:lineRule="auto"/>
        <w:ind w:left="0" w:leftChars="0" w:right="0" w:firstLine="480" w:firstLineChars="200"/>
        <w:jc w:val="center"/>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 xml:space="preserve">PPP模式下建筑企业的竞合之道 </w:t>
      </w:r>
    </w:p>
    <w:p>
      <w:pPr>
        <w:wordWrap/>
        <w:adjustRightInd/>
        <w:snapToGrid w:val="0"/>
        <w:spacing w:before="0" w:beforeAutospacing="0" w:after="0" w:afterAutospacing="0" w:line="312" w:lineRule="auto"/>
        <w:ind w:left="0" w:leftChars="0" w:right="0" w:firstLine="480" w:firstLineChars="200"/>
        <w:jc w:val="both"/>
        <w:textAlignment w:val="auto"/>
        <w:outlineLvl w:val="9"/>
        <w:rPr>
          <w:rFonts w:hint="eastAsia" w:ascii="仿宋" w:hAnsi="仿宋" w:eastAsia="仿宋" w:cs="仿宋"/>
          <w:b/>
          <w:bCs/>
          <w:sz w:val="32"/>
          <w:szCs w:val="32"/>
        </w:rPr>
      </w:pPr>
    </w:p>
    <w:p>
      <w:pPr>
        <w:widowControl w:val="0"/>
        <w:wordWrap/>
        <w:adjustRightInd/>
        <w:snapToGrid w:val="0"/>
        <w:spacing w:before="0" w:beforeAutospacing="0" w:after="0" w:afterAutospacing="0" w:line="336" w:lineRule="auto"/>
        <w:ind w:left="0" w:leftChars="0" w:right="0" w:firstLine="600" w:firstLineChars="20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随着国家政治经济环境及国内建筑市场环境的不断变化，建筑业传统发展模式与竞争模式难以为继，使得建筑企业通过转型升级获得持续发展的内外在要求越来越迫切。在当前PPP大热的背景之下，大力推行PPP模式被认为是支撑建筑企业转型升级、实现跨越式发展的重要途径。专家分析，一方面，PPP模式为建筑业带来了更广阔的业务市场和更宽广的利润来源。据悉，目前全国各省市拟推介及已推介的PPP项目投资额超过20万亿元，主要集中在市政公路、轨道交通、地下综合管廊、医院和学校等多个领域，通过大规模、多领域的推广拓展了建筑企业的发展空间。同时，在PPP模式之下，建筑企业利润来源由建筑施工的单一利润变成了建筑上下游多个利润点的汇集，可以分享项目投资、运营等多个环节的利润，其质量、效益也高于传统施工模式，提高了行业和企业的利润空间，并使其盈利更加持续、稳定。另一方面，由于此轮PPP模式中建筑企业作为社会资本方要全程参与项目规划设计、投融资、项目建设和运营管理等项目全生命周期管理，使得施工企业由原来单一的施工承包商向投资商、施工承包商和运维服务商的多重角色转变，更有助于建筑企业实现投资、建设、运营一体化，为其转型升级提供了机遇。当然，伴随机遇而来的，参与PPP项目，也给建筑企业带来了巨大的融资压力和运营风险。</w:t>
      </w:r>
    </w:p>
    <w:p>
      <w:pPr>
        <w:widowControl w:val="0"/>
        <w:wordWrap/>
        <w:adjustRightInd/>
        <w:snapToGrid w:val="0"/>
        <w:spacing w:before="0" w:beforeAutospacing="0" w:after="0" w:afterAutospacing="0" w:line="336" w:lineRule="auto"/>
        <w:ind w:left="0" w:leftChars="0" w:right="0" w:firstLine="600" w:firstLineChars="20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综上所述，建筑企业运作PPP项目，必须转变传统的角色定位、发展理念，并通过把控PPP项目业务链条上的关键环节和核心能力，锻造自身的核心竞争力，方可实现企业的可持续发展。同时，PPP项目综合性、长期性、复杂性、投资巨大等特点以及建筑企业一般性发展“短板”，决定了联合其他社会资本、通过组建联合体实现强强合作将是建筑企业参与PPP更具持续性的主流方式，这也暗合了PPP模式“专业人做专业事”的特性。</w:t>
      </w:r>
    </w:p>
    <w:p>
      <w:pPr>
        <w:widowControl w:val="0"/>
        <w:wordWrap/>
        <w:adjustRightInd/>
        <w:snapToGrid w:val="0"/>
        <w:spacing w:before="0" w:beforeAutospacing="0" w:after="0" w:afterAutospacing="0" w:line="336" w:lineRule="auto"/>
        <w:ind w:left="0" w:leftChars="0" w:right="0" w:firstLine="600" w:firstLineChars="20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一切从转变传统思维模式开始</w:t>
      </w:r>
    </w:p>
    <w:p>
      <w:pPr>
        <w:widowControl w:val="0"/>
        <w:wordWrap/>
        <w:adjustRightInd/>
        <w:snapToGrid w:val="0"/>
        <w:spacing w:before="0" w:beforeAutospacing="0" w:after="0" w:afterAutospacing="0" w:line="336" w:lineRule="auto"/>
        <w:ind w:left="0" w:leftChars="0" w:right="0" w:firstLine="600" w:firstLineChars="20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面对这一轮的PPP盛宴，建筑企业要紧抓机遇，更要谨慎以对。清华大学建设管理系教授、清华大学国际工程项目管理研究院副院长王守清提醒包括建筑企业在内的社会资本方：“需要注意的是，‘没有金刚钻，不揽瓷器活’，如果所提供的产品或服务不能符合政府的要求，则可能血本无归。”而建筑企业提供符合要求的产品，其前提是基于PPP的特性，转变传统思维方式，在此基础上，实现中铁（上海）投资有限公司副总经理李川所认为的PPP价值理应包括的“让有能力的企业更加有作为”。</w:t>
      </w:r>
    </w:p>
    <w:p>
      <w:pPr>
        <w:widowControl w:val="0"/>
        <w:wordWrap/>
        <w:adjustRightInd/>
        <w:snapToGrid w:val="0"/>
        <w:spacing w:before="0" w:beforeAutospacing="0" w:after="0" w:afterAutospacing="0" w:line="336" w:lineRule="auto"/>
        <w:ind w:left="0" w:leftChars="0" w:right="0" w:firstLine="600" w:firstLineChars="20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转变“乙方”思维更好地适应新角色</w:t>
      </w:r>
    </w:p>
    <w:p>
      <w:pPr>
        <w:widowControl w:val="0"/>
        <w:wordWrap/>
        <w:adjustRightInd/>
        <w:snapToGrid w:val="0"/>
        <w:spacing w:before="0" w:beforeAutospacing="0" w:after="0" w:afterAutospacing="0" w:line="336" w:lineRule="auto"/>
        <w:ind w:left="0" w:leftChars="0" w:right="0" w:firstLine="600" w:firstLineChars="20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专家提醒，在PPP项目中，建筑企业要注意转变传统的“乙方”思维。中国建筑股份有限公司基础设施事业部执行总经理赵广建在调研中重点强调，PPP模式的属性决定了作为社会资本方的建筑企业，其角色定位发生了根本性变化，从过去单纯的建设者转变为现在的集投资、建设、运营等为一体的综合服务商。这决定了PPP模式下的建筑企业已然从过去“为别人建项目”变为“为自己建项目”，企业的参与程度更深、参与感更强，相应的，肩上的责任也更大。为此，建筑企业就不能按照传统的“乙方”思维去运作项目，去与合作方进行谈判，必须以全新的角色定位对项目进行充分研究和策划，了解合作各方的真实利益诉求，促成其在项目认知和运作上达成共识，共同实现公共利益最大化之PPP最大价值与目标。</w:t>
      </w:r>
    </w:p>
    <w:p>
      <w:pPr>
        <w:widowControl w:val="0"/>
        <w:wordWrap/>
        <w:adjustRightInd/>
        <w:snapToGrid w:val="0"/>
        <w:spacing w:before="0" w:beforeAutospacing="0" w:after="0" w:afterAutospacing="0" w:line="336" w:lineRule="auto"/>
        <w:ind w:left="0" w:leftChars="0" w:right="0" w:firstLine="600" w:firstLineChars="20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对于作为社会资本的建筑企业而言，逐利是其天然属性，而财政部部长楼继伟曾公开表示，PPP模式就是微利，但回报稳定，想要暴利的企业别来。同时，建筑企业发展至今，“重建设轻运营”的短期建设思维根深蒂固，与PPP项目要求相去甚远。因此，建筑企业在参与PPP项目时，必须深刻认识其基本属性，并转变一直以来适应于短期、暴利项目的惯性思维。在调研中，当被问及在当前对民营资本尚不十分友好的PPP项目环境下，作为民营企业的江苏南通三建集团股份有限公司（以下简称“南通三建”）成功破局的关键时，其董事长黄裕辉重点提到两点，一是始终将实践PPP模式视为其履行社会责任的常规动作，以平台型企业的积极构建全面推进PPP项目实施。二是主动认知PPP并在主动认知的基础上提前进行战略布局的调整，研究转型策略、健全体系。正是以这种思维方式的转变为基础，去主动认知和适应PPP，南通三建才在PPP市场上获得了高度认可。</w:t>
      </w:r>
    </w:p>
    <w:p>
      <w:pPr>
        <w:widowControl w:val="0"/>
        <w:wordWrap/>
        <w:adjustRightInd/>
        <w:snapToGrid w:val="0"/>
        <w:spacing w:before="0" w:beforeAutospacing="0" w:after="0" w:afterAutospacing="0" w:line="336" w:lineRule="auto"/>
        <w:ind w:left="0" w:leftChars="0" w:right="0" w:firstLine="600" w:firstLineChars="20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更加注重从战略高度把握市场需求</w:t>
      </w:r>
    </w:p>
    <w:p>
      <w:pPr>
        <w:widowControl w:val="0"/>
        <w:wordWrap/>
        <w:adjustRightInd/>
        <w:snapToGrid w:val="0"/>
        <w:spacing w:before="0" w:beforeAutospacing="0" w:after="0" w:afterAutospacing="0" w:line="336" w:lineRule="auto"/>
        <w:ind w:left="0" w:leftChars="0" w:right="0" w:firstLine="600" w:firstLineChars="20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赵广建表示，PPP模式的推广，要求建筑企业在战略层面上，一方面要打通企业上下游产业链，如建立发展规划、投资、运营等领域的战略指导，抓住机遇促进企业持续、稳定发展；另一方面要培养积极的合作意识，与上下游产业合作、与资本合作。再大的企业，在PPP领域若是一直单打独斗，其实施项目的能力都很有限。另外，PPP模式的大力推广，无疑将大幅度提升建筑行业的市场化程度。中伦律师事务所律师周兰萍表示，建筑企业在参与PPP项目过程中，要时刻把握市场动态，及时调整战略。她表示，建筑企业的转型升级是一个长期的资源运作和整合过程，关键在于企业对战略方向的把控。具备资金、技术和管理水平的大型建筑企业，可以从传统承包方式向设计采购施工EPC方式转化，以及向工程+融资、工程+投资方向发展。对于中小型施工企业，则可以选择发挥区域资源优势，或与实力更强的大型央企、国企和民营企业合作，共同开发区域市场。</w:t>
      </w:r>
    </w:p>
    <w:p>
      <w:pPr>
        <w:widowControl w:val="0"/>
        <w:wordWrap/>
        <w:adjustRightInd/>
        <w:snapToGrid w:val="0"/>
        <w:spacing w:before="0" w:beforeAutospacing="0" w:after="0" w:afterAutospacing="0" w:line="336" w:lineRule="auto"/>
        <w:ind w:left="0" w:leftChars="0" w:right="0" w:firstLine="600" w:firstLineChars="20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更加注重以契约文化实现多方共赢</w:t>
      </w:r>
    </w:p>
    <w:p>
      <w:pPr>
        <w:widowControl w:val="0"/>
        <w:wordWrap/>
        <w:adjustRightInd/>
        <w:snapToGrid w:val="0"/>
        <w:spacing w:before="0" w:beforeAutospacing="0" w:after="0" w:afterAutospacing="0" w:line="336" w:lineRule="auto"/>
        <w:ind w:left="0" w:leftChars="0" w:right="0" w:firstLine="600" w:firstLineChars="20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契约精神对于PPP项目的成功至关重要。在关注政府信用风险的同时，建筑企业也必须改变以往“拿项目”的方式、人情化管理方式、以现场施工管理为主的项目管理习惯。中国葛洲坝集团企业管理部副处长刘斌表示，PPP模式下，建筑企业必须更加注重合同管理、树立诚信观念、强调诚信建设，与合作各方建立起以合同为依据、以商务为措施、以法律为手段的契约文化，从而保障各方权益和利益，共同分担各类风险，实现多方共赢。（PPP项目调研组）</w:t>
      </w:r>
    </w:p>
    <w:p>
      <w:pPr>
        <w:widowControl w:val="0"/>
        <w:wordWrap/>
        <w:adjustRightInd/>
        <w:snapToGrid w:val="0"/>
        <w:spacing w:before="0" w:beforeAutospacing="0" w:after="0" w:afterAutospacing="0" w:line="336" w:lineRule="auto"/>
        <w:ind w:left="0" w:leftChars="0" w:right="0" w:firstLine="600" w:firstLineChars="200"/>
        <w:jc w:val="right"/>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来源：中国建设报</w:t>
      </w:r>
    </w:p>
    <w:p>
      <w:pPr>
        <w:wordWrap/>
        <w:adjustRightInd/>
        <w:snapToGrid w:val="0"/>
        <w:spacing w:before="0" w:beforeAutospacing="0" w:after="0" w:afterAutospacing="0" w:line="312" w:lineRule="auto"/>
        <w:ind w:left="0" w:leftChars="0" w:right="0" w:firstLine="480" w:firstLineChars="200"/>
        <w:jc w:val="center"/>
        <w:textAlignment w:val="auto"/>
        <w:outlineLvl w:val="9"/>
        <w:rPr>
          <w:rFonts w:hint="eastAsia" w:ascii="仿宋" w:hAnsi="仿宋" w:eastAsia="仿宋" w:cs="仿宋"/>
          <w:b w:val="0"/>
          <w:bCs w:val="0"/>
          <w:sz w:val="30"/>
          <w:szCs w:val="30"/>
        </w:rPr>
      </w:pPr>
    </w:p>
    <w:p>
      <w:pPr>
        <w:wordWrap/>
        <w:adjustRightInd/>
        <w:snapToGrid w:val="0"/>
        <w:spacing w:before="0" w:beforeAutospacing="0" w:after="0" w:afterAutospacing="0" w:line="312" w:lineRule="auto"/>
        <w:ind w:left="0" w:leftChars="0" w:right="0" w:firstLine="480" w:firstLineChars="200"/>
        <w:jc w:val="center"/>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广东设PPP产业基金为管廊建设“供血”</w:t>
      </w:r>
    </w:p>
    <w:p>
      <w:pPr>
        <w:wordWrap/>
        <w:adjustRightInd/>
        <w:snapToGrid w:val="0"/>
        <w:spacing w:before="0" w:beforeAutospacing="0" w:after="0" w:afterAutospacing="0" w:line="312" w:lineRule="auto"/>
        <w:ind w:left="0" w:leftChars="0" w:right="0" w:firstLine="480" w:firstLineChars="200"/>
        <w:jc w:val="both"/>
        <w:textAlignment w:val="auto"/>
        <w:outlineLvl w:val="9"/>
        <w:rPr>
          <w:rFonts w:hint="eastAsia" w:ascii="仿宋" w:hAnsi="仿宋" w:eastAsia="仿宋" w:cs="仿宋"/>
          <w:b w:val="0"/>
          <w:bCs w:val="0"/>
          <w:sz w:val="30"/>
          <w:szCs w:val="30"/>
        </w:rPr>
      </w:pPr>
    </w:p>
    <w:p>
      <w:pPr>
        <w:wordWrap/>
        <w:adjustRightInd/>
        <w:snapToGrid w:val="0"/>
        <w:spacing w:before="0" w:beforeAutospacing="0" w:after="0" w:afterAutospacing="0" w:line="312" w:lineRule="auto"/>
        <w:ind w:left="0" w:leftChars="0" w:right="0" w:firstLine="480" w:firstLineChars="20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记者日前从有关部门了解到，广东将设立PPP产业基金，努力实现产业资本与金融资本深度融合，积极争取政策性金融支持，为城市地下综合管廊建设“供血”，化解资金筹措难题。</w:t>
      </w:r>
    </w:p>
    <w:p>
      <w:pPr>
        <w:wordWrap/>
        <w:adjustRightInd/>
        <w:snapToGrid w:val="0"/>
        <w:spacing w:before="0" w:beforeAutospacing="0" w:after="0" w:afterAutospacing="0" w:line="312" w:lineRule="auto"/>
        <w:ind w:left="0" w:leftChars="0" w:right="0" w:firstLine="480" w:firstLineChars="20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据广东省住房和城乡建设厅副厅长杜挺介绍，去年1月开始在全省开展城市地下管线普查工作，截至今年7月底，广州、佛山、惠州、东莞、江门5市城区地下管线普查工作已全面完成，珠海、中山、河源、梅州、湛江等市完成了总体进度的90%以上。</w:t>
      </w:r>
    </w:p>
    <w:p>
      <w:pPr>
        <w:wordWrap/>
        <w:adjustRightInd/>
        <w:snapToGrid w:val="0"/>
        <w:spacing w:before="0" w:beforeAutospacing="0" w:after="0" w:afterAutospacing="0" w:line="312" w:lineRule="auto"/>
        <w:ind w:left="0" w:leftChars="0" w:right="0" w:firstLine="480" w:firstLineChars="20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目前，广东已经建立了全省城市地下综合管廊建设项目库，统筹安排地下综合管廊建设。截至今年7月底，全省已有7个城市完成了城市地下综合管廊专项规划编制工作；21个地级以上市均成立了城市地下综合管廊规划建设工作领导小组，建立了领导协调机制；已建成并投入运营的城市地下综合管廊项目8个，总长度约88公里。</w:t>
      </w:r>
    </w:p>
    <w:p>
      <w:pPr>
        <w:wordWrap/>
        <w:adjustRightInd/>
        <w:snapToGrid w:val="0"/>
        <w:spacing w:before="0" w:beforeAutospacing="0" w:after="0" w:afterAutospacing="0" w:line="312" w:lineRule="auto"/>
        <w:ind w:left="0" w:leftChars="0" w:right="0" w:firstLine="480" w:firstLineChars="20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广州、珠海是广东地下综合管廊建设的成功典型。2016年广州被确定为中央财政支持地下综合管廊建设试点城市。珠海横琴新区城市地下综合管廊投资约20亿元，建设总长约33.4公里，是目前国内最长、一次性投资最大的城市地下综合管廊项目。</w:t>
      </w:r>
    </w:p>
    <w:p>
      <w:pPr>
        <w:wordWrap/>
        <w:adjustRightInd/>
        <w:snapToGrid w:val="0"/>
        <w:spacing w:before="0" w:beforeAutospacing="0" w:after="0" w:afterAutospacing="0" w:line="312" w:lineRule="auto"/>
        <w:ind w:left="0" w:leftChars="0" w:right="0" w:firstLine="480" w:firstLineChars="20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广东省住房和城乡建设厅对广州、珠海等本省先进典型案例，积极组织开展总结推广工作，让各地学习成功经验。下一步，该厅将坚持试点带动，总结交流示范经验，加大宣传推广力度，为全省城市地下综合管廊建设营造良好氛围。</w:t>
      </w:r>
    </w:p>
    <w:p>
      <w:pPr>
        <w:wordWrap/>
        <w:adjustRightInd/>
        <w:snapToGrid w:val="0"/>
        <w:spacing w:before="0" w:beforeAutospacing="0" w:after="0" w:afterAutospacing="0" w:line="312" w:lineRule="auto"/>
        <w:ind w:left="0" w:leftChars="0" w:right="0" w:firstLine="480" w:firstLineChars="20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此外，该厅还将成立专家库，加强对各市地下综合管廊规划和建设的指导，加快城市地下综合管廊建设，并督促各地在今年12月底前完成城市地下综合管廊专项规划编制工作。到2020年，全省建成1000公里以上的城市地下综合管廊。</w:t>
      </w:r>
    </w:p>
    <w:p>
      <w:pPr>
        <w:wordWrap/>
        <w:adjustRightInd/>
        <w:snapToGrid w:val="0"/>
        <w:spacing w:before="0" w:beforeAutospacing="0" w:after="0" w:afterAutospacing="0" w:line="312" w:lineRule="auto"/>
        <w:ind w:left="0" w:leftChars="0" w:right="0" w:firstLine="480" w:firstLineChars="20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 xml:space="preserve">                              来源：</w:t>
      </w:r>
      <w:r>
        <w:rPr>
          <w:rFonts w:hint="eastAsia" w:ascii="仿宋" w:hAnsi="仿宋" w:eastAsia="仿宋" w:cs="仿宋"/>
          <w:b w:val="0"/>
          <w:bCs w:val="0"/>
          <w:sz w:val="30"/>
          <w:szCs w:val="30"/>
        </w:rPr>
        <w:t>中国建设报　</w:t>
      </w:r>
    </w:p>
    <w:p>
      <w:pPr>
        <w:wordWrap/>
        <w:adjustRightInd/>
        <w:snapToGrid w:val="0"/>
        <w:spacing w:before="0" w:beforeAutospacing="0" w:after="0" w:afterAutospacing="0" w:line="312" w:lineRule="auto"/>
        <w:ind w:left="0" w:leftChars="0" w:right="0" w:firstLine="480" w:firstLineChars="200"/>
        <w:jc w:val="both"/>
        <w:textAlignment w:val="auto"/>
        <w:outlineLvl w:val="9"/>
        <w:rPr>
          <w:rFonts w:hint="eastAsia" w:ascii="仿宋" w:hAnsi="仿宋" w:eastAsia="仿宋" w:cs="仿宋"/>
          <w:b w:val="0"/>
          <w:bCs w:val="0"/>
          <w:sz w:val="30"/>
          <w:szCs w:val="30"/>
        </w:rPr>
      </w:pPr>
    </w:p>
    <w:p>
      <w:pPr>
        <w:wordWrap/>
        <w:adjustRightInd/>
        <w:snapToGrid w:val="0"/>
        <w:spacing w:before="0" w:beforeAutospacing="0" w:after="0" w:afterAutospacing="0" w:line="312" w:lineRule="auto"/>
        <w:ind w:left="0" w:leftChars="0" w:right="0" w:firstLine="480" w:firstLineChars="200"/>
        <w:jc w:val="center"/>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113项工程建设标准规范制订修订征求意见</w:t>
      </w:r>
    </w:p>
    <w:p>
      <w:pPr>
        <w:wordWrap/>
        <w:adjustRightInd/>
        <w:snapToGrid w:val="0"/>
        <w:spacing w:before="0" w:beforeAutospacing="0" w:after="0" w:afterAutospacing="0" w:line="312" w:lineRule="auto"/>
        <w:ind w:left="0" w:leftChars="0" w:right="0" w:firstLine="480" w:firstLineChars="200"/>
        <w:jc w:val="both"/>
        <w:textAlignment w:val="auto"/>
        <w:outlineLvl w:val="9"/>
        <w:rPr>
          <w:rFonts w:hint="eastAsia" w:ascii="仿宋" w:hAnsi="仿宋" w:eastAsia="仿宋" w:cs="仿宋"/>
          <w:b w:val="0"/>
          <w:bCs w:val="0"/>
          <w:sz w:val="30"/>
          <w:szCs w:val="30"/>
        </w:rPr>
      </w:pPr>
    </w:p>
    <w:p>
      <w:pPr>
        <w:wordWrap/>
        <w:adjustRightInd/>
        <w:snapToGrid w:val="0"/>
        <w:spacing w:before="0" w:beforeAutospacing="0" w:after="0" w:afterAutospacing="0" w:line="312" w:lineRule="auto"/>
        <w:ind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rPr>
        <w:t>日前，住房城乡建设部标准定额司发布《2017年工程建设标准规范制订、修订计划（征求意见稿）》，要求各地和有关部门9月23日前反馈意见。</w:t>
      </w:r>
    </w:p>
    <w:p>
      <w:pPr>
        <w:wordWrap/>
        <w:adjustRightInd/>
        <w:snapToGrid w:val="0"/>
        <w:spacing w:before="0" w:beforeAutospacing="0" w:after="0" w:afterAutospacing="0" w:line="312" w:lineRule="auto"/>
        <w:ind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　　根据计划，2017年，共有113项工程建设标准规范进行制订和修订。其中，工程建设强制性（全文）国家标准29项、工程建设推荐性国家标准46项、工程建设推荐性行业标准6项、城建建工推荐性行业产品标准32项。在29项工程建设强制性（全文）国家标准中，27项主编部门为住房城乡建设部，其他两项分别为交通运输部和中国兵器工业集团公司。</w:t>
      </w:r>
    </w:p>
    <w:p>
      <w:pPr>
        <w:wordWrap/>
        <w:adjustRightInd/>
        <w:snapToGrid w:val="0"/>
        <w:spacing w:before="0" w:beforeAutospacing="0" w:after="0" w:afterAutospacing="0" w:line="312" w:lineRule="auto"/>
        <w:ind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　　前不久住房城乡建设部出台的深化工程建设标准化工作改革意见明确指出，改革强制性标准是任务之一，要求加快制订全文强制性标准，逐步用全文强制性标准取代现行标准中分散的强制性条文。业内人士认为，明年的制订修订计划是改革精神的一个重要体现。</w:t>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rPr>
        <w:t>　　</w:t>
      </w:r>
      <w:r>
        <w:rPr>
          <w:rFonts w:hint="eastAsia" w:ascii="仿宋" w:hAnsi="仿宋" w:eastAsia="仿宋" w:cs="仿宋"/>
          <w:b w:val="0"/>
          <w:bCs w:val="0"/>
          <w:sz w:val="30"/>
          <w:szCs w:val="30"/>
          <w:lang w:eastAsia="zh-CN"/>
        </w:rPr>
        <w:t>来源：</w:t>
      </w:r>
      <w:r>
        <w:rPr>
          <w:rFonts w:hint="eastAsia" w:ascii="仿宋" w:hAnsi="仿宋" w:eastAsia="仿宋" w:cs="仿宋"/>
          <w:b w:val="0"/>
          <w:bCs w:val="0"/>
          <w:sz w:val="30"/>
          <w:szCs w:val="30"/>
        </w:rPr>
        <w:t>中国建设报</w:t>
      </w:r>
    </w:p>
    <w:p>
      <w:pPr>
        <w:wordWrap/>
        <w:adjustRightInd/>
        <w:snapToGrid w:val="0"/>
        <w:spacing w:before="0" w:beforeAutospacing="0" w:after="0" w:afterAutospacing="0" w:line="312" w:lineRule="auto"/>
        <w:ind w:right="0"/>
        <w:jc w:val="center"/>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工程建设标准深化改革意见出台</w:t>
      </w:r>
    </w:p>
    <w:p>
      <w:pPr>
        <w:wordWrap/>
        <w:adjustRightInd/>
        <w:snapToGrid w:val="0"/>
        <w:spacing w:before="0" w:beforeAutospacing="0" w:after="0" w:afterAutospacing="0" w:line="312" w:lineRule="auto"/>
        <w:ind w:right="0"/>
        <w:jc w:val="both"/>
        <w:textAlignment w:val="auto"/>
        <w:outlineLvl w:val="9"/>
        <w:rPr>
          <w:rFonts w:hint="eastAsia" w:ascii="仿宋" w:hAnsi="仿宋" w:eastAsia="仿宋" w:cs="仿宋"/>
          <w:b w:val="0"/>
          <w:bCs w:val="0"/>
          <w:sz w:val="30"/>
          <w:szCs w:val="30"/>
        </w:rPr>
      </w:pPr>
    </w:p>
    <w:p>
      <w:pPr>
        <w:wordWrap/>
        <w:adjustRightInd/>
        <w:snapToGrid w:val="0"/>
        <w:spacing w:before="0" w:beforeAutospacing="0" w:after="0" w:afterAutospacing="0" w:line="312" w:lineRule="auto"/>
        <w:ind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rPr>
        <w:t>日前，住房城乡建设部印发《关于深化工程建设标准化工作改革的意见》，落实《国务院关于印发深化标准化工作改革方案的通知》精神，进一步改革工程建设标准体制，健全标准体系，完善工作机制。</w:t>
      </w:r>
    </w:p>
    <w:p>
      <w:pPr>
        <w:wordWrap/>
        <w:adjustRightInd/>
        <w:snapToGrid w:val="0"/>
        <w:spacing w:before="0" w:beforeAutospacing="0" w:after="0" w:afterAutospacing="0" w:line="312" w:lineRule="auto"/>
        <w:ind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　　● 按照政府制定强制性标准、社会团体制定自愿采用性标准的长远目标，到2020年，适应标准改革发展的管理制度基本建立，重要的强制性标准发布实施，政府推荐性标准得到有效精简，团体标准具有一定规模。</w:t>
      </w:r>
    </w:p>
    <w:p>
      <w:pPr>
        <w:wordWrap/>
        <w:adjustRightInd/>
        <w:snapToGrid w:val="0"/>
        <w:spacing w:before="0" w:beforeAutospacing="0" w:after="0" w:afterAutospacing="0" w:line="312" w:lineRule="auto"/>
        <w:ind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　　● 加快制定全文强制性标准，逐步用全文强制性标准取代现行标准中分散的强制性条文。</w:t>
      </w:r>
    </w:p>
    <w:p>
      <w:pPr>
        <w:wordWrap/>
        <w:adjustRightInd/>
        <w:snapToGrid w:val="0"/>
        <w:spacing w:before="0" w:beforeAutospacing="0" w:after="0" w:afterAutospacing="0" w:line="312" w:lineRule="auto"/>
        <w:ind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　　● 改变标准由政府单一供给模式，对团体标准制定不设行政审批。鼓励协会、学会等社会组织，主动承接政府转移的标准，制定新技术和市场缺失的标准，供市场自愿选用。</w:t>
      </w:r>
    </w:p>
    <w:p>
      <w:pPr>
        <w:wordWrap/>
        <w:adjustRightInd/>
        <w:snapToGrid w:val="0"/>
        <w:spacing w:before="0" w:beforeAutospacing="0" w:after="0" w:afterAutospacing="0" w:line="312" w:lineRule="auto"/>
        <w:ind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rPr>
        <w:t>　　● 缩小中国标准与国外先进标准技术差距。标准的内容结构、要素指标和相关术语等，要适应国际通行做法，提高与国际标准或发达国家标准的一致性。</w:t>
      </w:r>
    </w:p>
    <w:p>
      <w:pPr>
        <w:wordWrap/>
        <w:adjustRightInd/>
        <w:snapToGrid w:val="0"/>
        <w:spacing w:before="0" w:beforeAutospacing="0" w:after="0" w:afterAutospacing="0" w:line="312" w:lineRule="auto"/>
        <w:ind w:right="0"/>
        <w:jc w:val="both"/>
        <w:textAlignment w:val="auto"/>
        <w:outlineLvl w:val="9"/>
        <w:rPr>
          <w:rFonts w:hint="eastAsia" w:ascii="仿宋" w:hAnsi="仿宋" w:eastAsia="仿宋" w:cs="仿宋"/>
          <w:b w:val="0"/>
          <w:bCs w:val="0"/>
          <w:sz w:val="30"/>
          <w:szCs w:val="30"/>
        </w:rPr>
      </w:pP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rPr>
        <w:t>　</w:t>
      </w:r>
      <w:r>
        <w:rPr>
          <w:rFonts w:hint="eastAsia" w:ascii="仿宋" w:hAnsi="仿宋" w:eastAsia="仿宋" w:cs="仿宋"/>
          <w:b w:val="0"/>
          <w:bCs w:val="0"/>
          <w:sz w:val="30"/>
          <w:szCs w:val="30"/>
          <w:lang w:val="en-US" w:eastAsia="zh-CN"/>
        </w:rPr>
        <w:t xml:space="preserve">                    </w:t>
      </w:r>
      <w:r>
        <w:rPr>
          <w:rFonts w:hint="eastAsia" w:ascii="仿宋" w:hAnsi="仿宋" w:eastAsia="仿宋" w:cs="仿宋"/>
          <w:b w:val="0"/>
          <w:bCs w:val="0"/>
          <w:sz w:val="30"/>
          <w:szCs w:val="30"/>
        </w:rPr>
        <w:t>　</w:t>
      </w:r>
      <w:r>
        <w:rPr>
          <w:rFonts w:hint="eastAsia" w:ascii="仿宋" w:hAnsi="仿宋" w:eastAsia="仿宋" w:cs="仿宋"/>
          <w:b w:val="0"/>
          <w:bCs w:val="0"/>
          <w:sz w:val="30"/>
          <w:szCs w:val="30"/>
          <w:lang w:eastAsia="zh-CN"/>
        </w:rPr>
        <w:t>来源：</w:t>
      </w:r>
      <w:r>
        <w:rPr>
          <w:rFonts w:hint="eastAsia" w:ascii="仿宋" w:hAnsi="仿宋" w:eastAsia="仿宋" w:cs="仿宋"/>
          <w:b w:val="0"/>
          <w:bCs w:val="0"/>
          <w:sz w:val="30"/>
          <w:szCs w:val="30"/>
        </w:rPr>
        <w:t>中国建设报</w:t>
      </w:r>
    </w:p>
    <w:p>
      <w:pPr>
        <w:wordWrap/>
        <w:adjustRightInd/>
        <w:snapToGrid w:val="0"/>
        <w:spacing w:before="0" w:beforeAutospacing="0" w:after="0" w:afterAutospacing="0" w:line="312" w:lineRule="auto"/>
        <w:ind w:right="0"/>
        <w:jc w:val="center"/>
        <w:textAlignment w:val="auto"/>
        <w:outlineLvl w:val="9"/>
        <w:rPr>
          <w:rFonts w:hint="eastAsia" w:ascii="仿宋" w:hAnsi="仿宋" w:eastAsia="仿宋" w:cs="仿宋"/>
          <w:b/>
          <w:bCs/>
          <w:sz w:val="32"/>
          <w:szCs w:val="32"/>
        </w:rPr>
      </w:pPr>
    </w:p>
    <w:p>
      <w:pPr>
        <w:wordWrap/>
        <w:adjustRightInd/>
        <w:snapToGrid w:val="0"/>
        <w:spacing w:before="0" w:beforeAutospacing="0" w:after="0" w:afterAutospacing="0" w:line="312" w:lineRule="auto"/>
        <w:ind w:right="0"/>
        <w:jc w:val="center"/>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2016年第四期“全国建筑市场与招标投标行业从业人员</w:t>
      </w:r>
    </w:p>
    <w:p>
      <w:pPr>
        <w:wordWrap/>
        <w:adjustRightInd/>
        <w:snapToGrid w:val="0"/>
        <w:spacing w:before="0" w:beforeAutospacing="0" w:after="0" w:afterAutospacing="0" w:line="312" w:lineRule="auto"/>
        <w:ind w:left="0" w:leftChars="0" w:right="0" w:firstLine="480" w:firstLineChars="200"/>
        <w:jc w:val="center"/>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高级培训班”在长春举办</w:t>
      </w:r>
    </w:p>
    <w:p>
      <w:pPr>
        <w:wordWrap/>
        <w:adjustRightInd/>
        <w:snapToGrid w:val="0"/>
        <w:spacing w:before="0" w:beforeAutospacing="0" w:after="0" w:afterAutospacing="0" w:line="312" w:lineRule="auto"/>
        <w:ind w:left="0" w:leftChars="0" w:right="0" w:firstLine="480" w:firstLineChars="200"/>
        <w:textAlignment w:val="auto"/>
        <w:outlineLvl w:val="9"/>
        <w:rPr>
          <w:rFonts w:ascii="微软雅黑" w:hAnsi="微软雅黑" w:eastAsia="微软雅黑"/>
          <w:sz w:val="24"/>
          <w:szCs w:val="24"/>
        </w:rPr>
      </w:pPr>
    </w:p>
    <w:p>
      <w:pPr>
        <w:widowControl w:val="0"/>
        <w:wordWrap/>
        <w:adjustRightInd/>
        <w:snapToGrid w:val="0"/>
        <w:spacing w:before="0" w:beforeAutospacing="0" w:after="0" w:afterAutospacing="0" w:line="336" w:lineRule="auto"/>
        <w:ind w:left="0" w:leftChars="0" w:right="0" w:firstLine="48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 xml:space="preserve"> 2016年8月25日至8月26日，中国土木工程学会建筑市场与招标投标研究分会在吉林省长春市举办2016年第四期“全国建筑市场与招标投标行业从业人员高级培训班”，来自全国各省市326名专职人员参加了此次培训。</w:t>
      </w:r>
    </w:p>
    <w:p>
      <w:pPr>
        <w:widowControl w:val="0"/>
        <w:wordWrap/>
        <w:adjustRightInd/>
        <w:snapToGrid w:val="0"/>
        <w:spacing w:before="0" w:beforeAutospacing="0" w:after="0" w:afterAutospacing="0" w:line="336" w:lineRule="auto"/>
        <w:ind w:left="0" w:leftChars="0" w:right="0" w:firstLine="48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培训范围包括建设单位、施工企业、招标监管、交易中心管理和招标造价咨询代理企业等。培训内容包括招投标案例、新型电子招标投标模式探讨，营改增对建筑行业的影响、PPP项目合同制作法律实务，“十三五”规划及中国周边安全形势等。</w:t>
      </w:r>
    </w:p>
    <w:p>
      <w:pPr>
        <w:widowControl w:val="0"/>
        <w:wordWrap/>
        <w:adjustRightInd/>
        <w:snapToGrid w:val="0"/>
        <w:spacing w:before="0" w:beforeAutospacing="0" w:after="0" w:afterAutospacing="0" w:line="336" w:lineRule="auto"/>
        <w:ind w:left="0" w:leftChars="0" w:right="0" w:firstLine="480" w:firstLineChars="200"/>
        <w:textAlignment w:val="auto"/>
        <w:outlineLvl w:val="9"/>
        <w:rPr>
          <w:rFonts w:hint="eastAsia" w:ascii="仿宋" w:hAnsi="仿宋" w:eastAsia="仿宋" w:cs="仿宋"/>
          <w:sz w:val="30"/>
          <w:szCs w:val="30"/>
        </w:rPr>
      </w:pPr>
      <w:r>
        <w:rPr>
          <w:rFonts w:hint="eastAsia" w:ascii="仿宋" w:hAnsi="仿宋" w:eastAsia="仿宋" w:cs="仿宋"/>
          <w:sz w:val="30"/>
          <w:szCs w:val="30"/>
        </w:rPr>
        <w:t>本次会议由吉林省建设工程招标投标协会协办，吉林省招标处对培训给予大力支持。吉林省招标处处长赵桂君到会致辞。安连发秘书长主持此次培训。</w:t>
      </w:r>
    </w:p>
    <w:p>
      <w:pPr>
        <w:widowControl w:val="0"/>
        <w:wordWrap/>
        <w:adjustRightInd/>
        <w:snapToGrid w:val="0"/>
        <w:spacing w:before="0" w:beforeAutospacing="0" w:after="0" w:afterAutospacing="0" w:line="336" w:lineRule="auto"/>
        <w:ind w:left="0" w:leftChars="0" w:right="0" w:firstLine="480" w:firstLineChars="200"/>
        <w:jc w:val="right"/>
        <w:textAlignment w:val="auto"/>
        <w:outlineLvl w:val="9"/>
        <w:rPr>
          <w:rFonts w:hint="eastAsia" w:ascii="仿宋" w:hAnsi="仿宋" w:eastAsia="仿宋" w:cs="仿宋"/>
          <w:sz w:val="30"/>
          <w:szCs w:val="30"/>
        </w:rPr>
      </w:pPr>
      <w:r>
        <w:rPr>
          <w:rFonts w:hint="eastAsia" w:ascii="仿宋" w:hAnsi="仿宋" w:eastAsia="仿宋" w:cs="仿宋"/>
          <w:sz w:val="30"/>
          <w:szCs w:val="30"/>
        </w:rPr>
        <w:t>（杨桂珍  报道）</w:t>
      </w:r>
    </w:p>
    <w:p>
      <w:pPr>
        <w:widowControl w:val="0"/>
        <w:wordWrap/>
        <w:adjustRightInd/>
        <w:snapToGrid w:val="0"/>
        <w:spacing w:before="0" w:beforeAutospacing="0" w:after="0" w:afterAutospacing="0" w:line="336" w:lineRule="auto"/>
        <w:ind w:left="0" w:leftChars="0" w:right="0" w:firstLine="480" w:firstLineChars="200"/>
        <w:jc w:val="right"/>
        <w:textAlignment w:val="auto"/>
        <w:outlineLvl w:val="9"/>
        <w:rPr>
          <w:rFonts w:hint="eastAsia" w:ascii="仿宋" w:hAnsi="仿宋" w:eastAsia="仿宋" w:cs="仿宋"/>
          <w:sz w:val="30"/>
          <w:szCs w:val="30"/>
        </w:rPr>
      </w:pPr>
    </w:p>
    <w:p>
      <w:pPr>
        <w:wordWrap/>
        <w:adjustRightInd/>
        <w:snapToGrid w:val="0"/>
        <w:spacing w:before="0" w:beforeAutospacing="0" w:after="0" w:afterAutospacing="0" w:line="312" w:lineRule="auto"/>
        <w:ind w:right="0"/>
        <w:jc w:val="center"/>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2016年第</w:t>
      </w:r>
      <w:r>
        <w:rPr>
          <w:rFonts w:hint="eastAsia" w:ascii="仿宋" w:hAnsi="仿宋" w:eastAsia="仿宋" w:cs="仿宋"/>
          <w:b/>
          <w:bCs/>
          <w:sz w:val="32"/>
          <w:szCs w:val="32"/>
          <w:lang w:eastAsia="zh-CN"/>
        </w:rPr>
        <w:t>五</w:t>
      </w:r>
      <w:r>
        <w:rPr>
          <w:rFonts w:hint="eastAsia" w:ascii="仿宋" w:hAnsi="仿宋" w:eastAsia="仿宋" w:cs="仿宋"/>
          <w:b/>
          <w:bCs/>
          <w:sz w:val="32"/>
          <w:szCs w:val="32"/>
        </w:rPr>
        <w:t>期“全国建筑市场与招标投标行业从业</w:t>
      </w:r>
      <w:r>
        <w:rPr>
          <w:rFonts w:hint="eastAsia" w:ascii="仿宋" w:hAnsi="仿宋" w:eastAsia="仿宋" w:cs="仿宋"/>
          <w:b/>
          <w:bCs/>
          <w:sz w:val="32"/>
          <w:szCs w:val="32"/>
          <w:lang w:eastAsia="zh-CN"/>
        </w:rPr>
        <w:t>人</w:t>
      </w:r>
      <w:r>
        <w:rPr>
          <w:rFonts w:hint="eastAsia" w:ascii="仿宋" w:hAnsi="仿宋" w:eastAsia="仿宋" w:cs="仿宋"/>
          <w:b/>
          <w:bCs/>
          <w:sz w:val="32"/>
          <w:szCs w:val="32"/>
        </w:rPr>
        <w:t>员</w:t>
      </w:r>
    </w:p>
    <w:p>
      <w:pPr>
        <w:wordWrap/>
        <w:adjustRightInd/>
        <w:snapToGrid w:val="0"/>
        <w:spacing w:before="0" w:beforeAutospacing="0" w:after="0" w:afterAutospacing="0" w:line="312" w:lineRule="auto"/>
        <w:ind w:left="0" w:leftChars="0" w:right="0" w:firstLine="480" w:firstLineChars="200"/>
        <w:jc w:val="center"/>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高级培训班”在</w:t>
      </w:r>
      <w:r>
        <w:rPr>
          <w:rFonts w:hint="eastAsia" w:ascii="仿宋" w:hAnsi="仿宋" w:eastAsia="仿宋" w:cs="仿宋"/>
          <w:b/>
          <w:bCs/>
          <w:sz w:val="32"/>
          <w:szCs w:val="32"/>
          <w:lang w:eastAsia="zh-CN"/>
        </w:rPr>
        <w:t>天津</w:t>
      </w:r>
      <w:r>
        <w:rPr>
          <w:rFonts w:hint="eastAsia" w:ascii="仿宋" w:hAnsi="仿宋" w:eastAsia="仿宋" w:cs="仿宋"/>
          <w:b/>
          <w:bCs/>
          <w:sz w:val="32"/>
          <w:szCs w:val="32"/>
        </w:rPr>
        <w:t>举办</w:t>
      </w:r>
    </w:p>
    <w:p>
      <w:pPr>
        <w:wordWrap/>
        <w:adjustRightInd/>
        <w:snapToGrid w:val="0"/>
        <w:spacing w:before="0" w:beforeAutospacing="0" w:after="0" w:afterAutospacing="0" w:line="312" w:lineRule="auto"/>
        <w:ind w:left="0" w:leftChars="0" w:right="0" w:firstLine="480" w:firstLineChars="200"/>
        <w:jc w:val="center"/>
        <w:textAlignment w:val="auto"/>
        <w:outlineLvl w:val="9"/>
        <w:rPr>
          <w:rFonts w:hint="eastAsia" w:ascii="仿宋" w:hAnsi="仿宋" w:eastAsia="仿宋" w:cs="仿宋"/>
          <w:b/>
          <w:bCs/>
          <w:sz w:val="32"/>
          <w:szCs w:val="32"/>
        </w:rPr>
      </w:pPr>
    </w:p>
    <w:p>
      <w:pPr>
        <w:wordWrap/>
        <w:adjustRightInd/>
        <w:snapToGrid w:val="0"/>
        <w:spacing w:before="0" w:beforeAutospacing="0" w:after="0" w:afterAutospacing="0" w:line="312" w:lineRule="auto"/>
        <w:ind w:left="0" w:leftChars="0" w:right="0" w:firstLine="480" w:firstLineChars="200"/>
        <w:jc w:val="both"/>
        <w:textAlignment w:val="auto"/>
        <w:outlineLvl w:val="9"/>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eastAsia="zh-CN"/>
        </w:rPr>
        <w:t>中国土木工程学会建筑市场与招标投标研究分会</w:t>
      </w:r>
      <w:r>
        <w:rPr>
          <w:rFonts w:hint="eastAsia" w:ascii="仿宋" w:hAnsi="仿宋" w:eastAsia="仿宋" w:cs="仿宋"/>
          <w:b w:val="0"/>
          <w:bCs w:val="0"/>
          <w:sz w:val="30"/>
          <w:szCs w:val="30"/>
          <w:lang w:val="en-US" w:eastAsia="zh-CN"/>
        </w:rPr>
        <w:t>2016年第五期“全国建筑市场与招标投标行业从业人员高级培训班”于9月7--9日在天津举办。</w:t>
      </w:r>
    </w:p>
    <w:p>
      <w:pPr>
        <w:wordWrap/>
        <w:adjustRightInd/>
        <w:snapToGrid w:val="0"/>
        <w:spacing w:before="0" w:beforeAutospacing="0" w:after="0" w:afterAutospacing="0" w:line="312" w:lineRule="auto"/>
        <w:ind w:left="0" w:leftChars="0" w:right="0" w:firstLine="480" w:firstLineChars="200"/>
        <w:jc w:val="both"/>
        <w:textAlignment w:val="auto"/>
        <w:outlineLvl w:val="9"/>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来自全国19个省、市、自治区160余位从业人员参加此次培训。培训内容包括营改增对建筑行业的影响、BIM助力造价管理及应用展望、PPP项目与招标投标、招投标案例、国家“十三五”规划及中国周边安全形势等。</w:t>
      </w:r>
    </w:p>
    <w:p>
      <w:pPr>
        <w:wordWrap/>
        <w:adjustRightInd/>
        <w:snapToGrid w:val="0"/>
        <w:spacing w:before="0" w:beforeAutospacing="0" w:after="0" w:afterAutospacing="0" w:line="312" w:lineRule="auto"/>
        <w:ind w:left="0" w:leftChars="0" w:right="0" w:firstLine="480" w:firstLineChars="200"/>
        <w:jc w:val="both"/>
        <w:textAlignment w:val="auto"/>
        <w:outlineLvl w:val="9"/>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天津市建设造价和招投标协会王润明秘书长致辞，张顺民理事长做会议总结，“分会”安连发秘书长主持此次培训。此次培训由中国土木工程学会建筑市场与招标投标研究分会主办，天津市建设造价和招投标协会协办。</w:t>
      </w:r>
    </w:p>
    <w:p>
      <w:pPr>
        <w:wordWrap/>
        <w:adjustRightInd/>
        <w:snapToGrid w:val="0"/>
        <w:spacing w:before="0" w:beforeAutospacing="0" w:after="0" w:afterAutospacing="0" w:line="312" w:lineRule="auto"/>
        <w:ind w:left="0" w:leftChars="0" w:right="0" w:firstLine="480" w:firstLineChars="200"/>
        <w:jc w:val="both"/>
        <w:textAlignment w:val="auto"/>
        <w:outlineLvl w:val="9"/>
        <w:rPr>
          <w:rFonts w:hint="eastAsia" w:ascii="仿宋" w:hAnsi="仿宋" w:eastAsia="仿宋" w:cs="仿宋"/>
          <w:b/>
          <w:bCs/>
          <w:sz w:val="32"/>
          <w:szCs w:val="32"/>
          <w:lang w:val="en-US" w:eastAsia="zh-CN"/>
        </w:rPr>
      </w:pPr>
    </w:p>
    <w:p>
      <w:pPr>
        <w:widowControl w:val="0"/>
        <w:wordWrap/>
        <w:adjustRightInd/>
        <w:snapToGrid w:val="0"/>
        <w:spacing w:before="0" w:beforeAutospacing="0" w:after="0" w:afterAutospacing="0" w:line="336" w:lineRule="auto"/>
        <w:ind w:left="0" w:leftChars="0" w:right="0" w:firstLine="480" w:firstLineChars="200"/>
        <w:jc w:val="both"/>
        <w:textAlignment w:val="auto"/>
        <w:outlineLvl w:val="9"/>
        <w:rPr>
          <w:rFonts w:hint="eastAsia" w:ascii="仿宋" w:hAnsi="仿宋" w:eastAsia="仿宋" w:cs="仿宋"/>
          <w:sz w:val="30"/>
          <w:szCs w:val="30"/>
        </w:rPr>
      </w:pPr>
    </w:p>
    <w:p>
      <w:pPr>
        <w:widowControl w:val="0"/>
        <w:wordWrap/>
        <w:adjustRightInd/>
        <w:snapToGrid w:val="0"/>
        <w:spacing w:before="0" w:beforeAutospacing="0" w:after="0" w:afterAutospacing="0" w:line="336" w:lineRule="auto"/>
        <w:ind w:left="0" w:leftChars="0" w:right="0"/>
        <w:textAlignment w:val="auto"/>
        <w:outlineLvl w:val="9"/>
        <w:rPr>
          <w:rFonts w:hint="eastAsia" w:ascii="仿宋" w:hAnsi="仿宋" w:eastAsia="仿宋" w:cs="仿宋"/>
          <w:sz w:val="30"/>
          <w:szCs w:val="3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 w:name="方正小标宋简体">
    <w:altName w:val="微软雅黑"/>
    <w:panose1 w:val="02010601030101010101"/>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A0000287" w:usb1="28C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72692859">
    <w:nsid w:val="57C7827B"/>
    <w:multiLevelType w:val="singleLevel"/>
    <w:tmpl w:val="57C7827B"/>
    <w:lvl w:ilvl="0" w:tentative="1">
      <w:start w:val="6"/>
      <w:numFmt w:val="chineseCounting"/>
      <w:suff w:val="space"/>
      <w:lvlText w:val="第%1条"/>
      <w:lvlJc w:val="left"/>
    </w:lvl>
  </w:abstractNum>
  <w:abstractNum w:abstractNumId="1472693074">
    <w:nsid w:val="57C78352"/>
    <w:multiLevelType w:val="singleLevel"/>
    <w:tmpl w:val="57C78352"/>
    <w:lvl w:ilvl="0" w:tentative="1">
      <w:start w:val="15"/>
      <w:numFmt w:val="chineseCounting"/>
      <w:suff w:val="space"/>
      <w:lvlText w:val="第%1条"/>
      <w:lvlJc w:val="left"/>
    </w:lvl>
  </w:abstractNum>
  <w:abstractNum w:abstractNumId="1472693107">
    <w:nsid w:val="57C78373"/>
    <w:multiLevelType w:val="singleLevel"/>
    <w:tmpl w:val="57C78373"/>
    <w:lvl w:ilvl="0" w:tentative="1">
      <w:start w:val="17"/>
      <w:numFmt w:val="chineseCounting"/>
      <w:suff w:val="space"/>
      <w:lvlText w:val="第%1条"/>
      <w:lvlJc w:val="left"/>
    </w:lvl>
  </w:abstractNum>
  <w:abstractNum w:abstractNumId="1472692949">
    <w:nsid w:val="57C782D5"/>
    <w:multiLevelType w:val="singleLevel"/>
    <w:tmpl w:val="57C782D5"/>
    <w:lvl w:ilvl="0" w:tentative="1">
      <w:start w:val="8"/>
      <w:numFmt w:val="chineseCounting"/>
      <w:suff w:val="space"/>
      <w:lvlText w:val="第%1条"/>
      <w:lvlJc w:val="left"/>
    </w:lvl>
  </w:abstractNum>
  <w:abstractNum w:abstractNumId="1472692766">
    <w:nsid w:val="57C7821E"/>
    <w:multiLevelType w:val="singleLevel"/>
    <w:tmpl w:val="57C7821E"/>
    <w:lvl w:ilvl="0" w:tentative="1">
      <w:start w:val="2"/>
      <w:numFmt w:val="chineseCounting"/>
      <w:suff w:val="space"/>
      <w:lvlText w:val="第%1条"/>
      <w:lvlJc w:val="left"/>
    </w:lvl>
  </w:abstractNum>
  <w:abstractNum w:abstractNumId="1472694040">
    <w:nsid w:val="57C78718"/>
    <w:multiLevelType w:val="singleLevel"/>
    <w:tmpl w:val="57C78718"/>
    <w:lvl w:ilvl="0" w:tentative="1">
      <w:start w:val="5"/>
      <w:numFmt w:val="chineseCounting"/>
      <w:suff w:val="nothing"/>
      <w:lvlText w:val="（%1）"/>
      <w:lvlJc w:val="left"/>
    </w:lvl>
  </w:abstractNum>
  <w:abstractNum w:abstractNumId="1472692810">
    <w:nsid w:val="57C7824A"/>
    <w:multiLevelType w:val="singleLevel"/>
    <w:tmpl w:val="57C7824A"/>
    <w:lvl w:ilvl="0" w:tentative="1">
      <w:start w:val="1"/>
      <w:numFmt w:val="chineseCounting"/>
      <w:suff w:val="nothing"/>
      <w:lvlText w:val="（%1）"/>
      <w:lvlJc w:val="left"/>
    </w:lvl>
  </w:abstractNum>
  <w:abstractNum w:abstractNumId="1472692993">
    <w:nsid w:val="57C78301"/>
    <w:multiLevelType w:val="singleLevel"/>
    <w:tmpl w:val="57C78301"/>
    <w:lvl w:ilvl="0" w:tentative="1">
      <w:start w:val="10"/>
      <w:numFmt w:val="chineseCounting"/>
      <w:suff w:val="space"/>
      <w:lvlText w:val="第%1条"/>
      <w:lvlJc w:val="left"/>
    </w:lvl>
  </w:abstractNum>
  <w:abstractNum w:abstractNumId="1472693826">
    <w:nsid w:val="57C78642"/>
    <w:multiLevelType w:val="singleLevel"/>
    <w:tmpl w:val="57C78642"/>
    <w:lvl w:ilvl="0" w:tentative="1">
      <w:start w:val="4"/>
      <w:numFmt w:val="chineseCounting"/>
      <w:suff w:val="nothing"/>
      <w:lvlText w:val="（%1）"/>
      <w:lvlJc w:val="left"/>
    </w:lvl>
  </w:abstractNum>
  <w:num w:numId="1">
    <w:abstractNumId w:val="1472692766"/>
  </w:num>
  <w:num w:numId="2">
    <w:abstractNumId w:val="1472692810"/>
  </w:num>
  <w:num w:numId="3">
    <w:abstractNumId w:val="1472692859"/>
  </w:num>
  <w:num w:numId="4">
    <w:abstractNumId w:val="1472693826"/>
  </w:num>
  <w:num w:numId="5">
    <w:abstractNumId w:val="1472692949"/>
  </w:num>
  <w:num w:numId="6">
    <w:abstractNumId w:val="1472692993"/>
  </w:num>
  <w:num w:numId="7">
    <w:abstractNumId w:val="1472693074"/>
  </w:num>
  <w:num w:numId="8">
    <w:abstractNumId w:val="1472693107"/>
  </w:num>
  <w:num w:numId="9">
    <w:abstractNumId w:val="14726940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9"/>
    <w:pPr>
      <w:keepNext/>
      <w:keepLines/>
      <w:spacing w:before="120" w:after="120" w:line="576" w:lineRule="auto"/>
      <w:jc w:val="center"/>
      <w:outlineLvl w:val="0"/>
    </w:pPr>
    <w:rPr>
      <w:rFonts w:ascii="Times New Roman" w:hAnsi="Times New Roman" w:eastAsia="宋体"/>
      <w:b/>
      <w:bCs/>
      <w:kern w:val="44"/>
      <w:sz w:val="30"/>
      <w:szCs w:val="44"/>
    </w:rPr>
  </w:style>
  <w:style w:type="character" w:default="1" w:styleId="6">
    <w:name w:val="Default Paragraph Font"/>
    <w:semiHidden/>
    <w:unhideWhenUsed/>
    <w:uiPriority w:val="1"/>
  </w:style>
  <w:style w:type="paragraph" w:styleId="3">
    <w:name w:val="footer"/>
    <w:basedOn w:val="1"/>
    <w:link w:val="9"/>
    <w:unhideWhenUsed/>
    <w:uiPriority w:val="99"/>
    <w:pPr>
      <w:tabs>
        <w:tab w:val="center" w:pos="4153"/>
        <w:tab w:val="right" w:pos="8306"/>
      </w:tabs>
      <w:snapToGrid w:val="0"/>
      <w:jc w:val="left"/>
    </w:pPr>
    <w:rPr>
      <w:rFonts w:ascii="Calibri" w:hAnsi="Calibri" w:eastAsia="宋体"/>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5">
    <w:name w:val="Normal (Web)"/>
    <w:basedOn w:val="1"/>
    <w:semiHidden/>
    <w:unhideWhenUsed/>
    <w:uiPriority w:val="0"/>
    <w:pPr>
      <w:spacing w:before="0" w:beforeAutospacing="1" w:after="0" w:afterAutospacing="1"/>
      <w:ind w:left="0" w:right="0"/>
      <w:jc w:val="left"/>
    </w:pPr>
    <w:rPr>
      <w:kern w:val="0"/>
      <w:sz w:val="24"/>
      <w:szCs w:val="20"/>
      <w:lang w:val="en-US" w:eastAsia="zh-CN" w:bidi="ar-SA"/>
    </w:rPr>
  </w:style>
  <w:style w:type="character" w:styleId="7">
    <w:name w:val="Strong"/>
    <w:basedOn w:val="6"/>
    <w:qFormat/>
    <w:uiPriority w:val="22"/>
    <w:rPr>
      <w:b/>
    </w:r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49</Words>
  <Characters>285</Characters>
  <Lines>2</Lines>
  <Paragraphs>1</Paragraphs>
  <ScaleCrop>false</ScaleCrop>
  <LinksUpToDate>false</LinksUpToDate>
  <CharactersWithSpaces>0</CharactersWithSpaces>
  <Application>WPS Office 个人版_9.1.0.4843_{F1E327BC-269C-435d-A152-05C5408002CA}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2016-08-31T08:20:00Z</dcterms:created>
  <dc:creator>1Q-2-4-07  杨桂珍</dc:creator>
  <cp:lastModifiedBy>lan</cp:lastModifiedBy>
  <cp:lastPrinted>2016-09-19T07:27:01Z</cp:lastPrinted>
  <dcterms:modified xsi:type="dcterms:W3CDTF">2016-09-19T07:30:55Z</dcterms:modified>
  <dc:title>中华人民共和国财政部令第81号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2052-9.1.0.4843</vt:lpwstr>
  </property>
</Properties>
</file>