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6D15B">
      <w:pPr>
        <w:widowControl/>
        <w:tabs>
          <w:tab w:val="left" w:pos="6660"/>
        </w:tabs>
        <w:spacing w:line="360" w:lineRule="auto"/>
        <w:jc w:val="left"/>
        <w:rPr>
          <w:rFonts w:ascii="Times New Roman" w:hAnsi="Times New Roman" w:eastAsia="黑体" w:cs="Times New Roman"/>
          <w:color w:val="000000"/>
          <w:sz w:val="32"/>
          <w:szCs w:val="24"/>
        </w:rPr>
      </w:pPr>
      <w:r>
        <w:rPr>
          <w:rFonts w:ascii="Times New Roman" w:hAnsi="Times New Roman" w:eastAsia="黑体" w:cs="Times New Roman"/>
          <w:color w:val="000000"/>
          <w:sz w:val="32"/>
          <w:szCs w:val="24"/>
        </w:rPr>
        <w:t>UDC</w:t>
      </w:r>
    </w:p>
    <w:p w14:paraId="1E227B75">
      <w:pPr>
        <w:widowControl/>
        <w:spacing w:before="156" w:beforeLines="50"/>
        <w:jc w:val="center"/>
        <w:rPr>
          <w:rFonts w:ascii="宋体" w:hAnsi="宋体" w:eastAsia="宋体" w:cs="Times New Roman"/>
          <w:color w:val="000000"/>
          <w:sz w:val="48"/>
          <w:szCs w:val="24"/>
        </w:rPr>
      </w:pPr>
      <w:r>
        <w:rPr>
          <w:rFonts w:hint="eastAsia" w:ascii="宋体" w:hAnsi="宋体" w:eastAsia="宋体" w:cs="Times New Roman"/>
          <w:color w:val="000000"/>
          <w:sz w:val="36"/>
          <w:szCs w:val="24"/>
        </w:rPr>
        <w:t>中国土木工程学会</w:t>
      </w:r>
      <w:r>
        <w:rPr>
          <w:rFonts w:ascii="宋体" w:hAnsi="宋体" w:eastAsia="宋体" w:cs="Times New Roman"/>
          <w:color w:val="000000"/>
          <w:sz w:val="36"/>
          <w:szCs w:val="24"/>
        </w:rPr>
        <w:t>标准</w:t>
      </w:r>
    </w:p>
    <w:p w14:paraId="37F15A69">
      <w:pPr>
        <w:widowControl/>
        <w:spacing w:line="360" w:lineRule="auto"/>
        <w:jc w:val="left"/>
        <w:rPr>
          <w:rFonts w:ascii="Times New Roman" w:hAnsi="Times New Roman" w:eastAsia="宋体" w:cs="Times New Roman"/>
          <w:color w:val="000000"/>
          <w:szCs w:val="24"/>
        </w:rPr>
      </w:pPr>
    </w:p>
    <w:p w14:paraId="40666ED1">
      <w:pPr>
        <w:widowControl/>
        <w:spacing w:line="360" w:lineRule="auto"/>
        <w:jc w:val="left"/>
        <w:rPr>
          <w:rFonts w:ascii="Times New Roman" w:hAnsi="Times New Roman" w:eastAsia="黑体" w:cs="Times New Roman"/>
          <w:color w:val="000000"/>
          <w:sz w:val="36"/>
          <w:szCs w:val="24"/>
        </w:rPr>
      </w:pPr>
      <w:r>
        <w:rPr>
          <w:rFonts w:ascii="Times New Roman" w:hAnsi="Times New Roman" w:eastAsia="宋体" w:cs="Times New Roman"/>
          <w:color w:val="000000"/>
          <w:szCs w:val="24"/>
        </w:rPr>
        <w:t xml:space="preserve">  </w:t>
      </w:r>
    </w:p>
    <w:p w14:paraId="1B9725C7">
      <w:pPr>
        <w:widowControl/>
        <w:spacing w:line="360" w:lineRule="auto"/>
        <w:jc w:val="left"/>
        <w:rPr>
          <w:rFonts w:ascii="Times New Roman" w:hAnsi="Times New Roman" w:eastAsia="黑体" w:cs="Times New Roman"/>
          <w:color w:val="000000"/>
          <w:sz w:val="30"/>
          <w:szCs w:val="24"/>
        </w:rPr>
      </w:pPr>
    </w:p>
    <w:p w14:paraId="69C33548">
      <w:pPr>
        <w:widowControl/>
        <w:spacing w:line="360" w:lineRule="auto"/>
        <w:jc w:val="left"/>
        <w:rPr>
          <w:rFonts w:ascii="Times New Roman" w:hAnsi="Times New Roman" w:eastAsia="宋体" w:cs="Times New Roman"/>
          <w:color w:val="000000"/>
          <w:sz w:val="32"/>
          <w:szCs w:val="24"/>
        </w:rPr>
      </w:pPr>
      <w:r>
        <w:rPr>
          <w:rFonts w:ascii="Times New Roman" w:hAnsi="Times New Roman" w:eastAsia="宋体" w:cs="Times New Roman"/>
          <w:color w:val="000000"/>
          <w:sz w:val="32"/>
          <w:szCs w:val="24"/>
        </w:rPr>
        <w:t xml:space="preserve">P                          </w:t>
      </w:r>
      <w:r>
        <w:rPr>
          <w:rFonts w:hint="eastAsia" w:ascii="Times New Roman" w:hAnsi="Times New Roman" w:eastAsia="宋体" w:cs="Times New Roman"/>
          <w:color w:val="000000"/>
          <w:sz w:val="32"/>
          <w:szCs w:val="24"/>
        </w:rPr>
        <w:t xml:space="preserve">                                         </w:t>
      </w:r>
      <w:r>
        <w:rPr>
          <w:rFonts w:ascii="Times New Roman" w:hAnsi="Times New Roman" w:eastAsia="宋体" w:cs="Times New Roman"/>
          <w:color w:val="000000"/>
          <w:sz w:val="32"/>
          <w:szCs w:val="24"/>
        </w:rPr>
        <w:t xml:space="preserve">        </w:t>
      </w:r>
      <w:r>
        <w:rPr>
          <w:rFonts w:hint="eastAsia" w:ascii="Times New Roman" w:hAnsi="Times New Roman" w:eastAsia="宋体" w:cs="Times New Roman"/>
          <w:color w:val="000000"/>
          <w:sz w:val="32"/>
          <w:szCs w:val="24"/>
        </w:rPr>
        <w:t xml:space="preserve">  </w:t>
      </w:r>
      <w:r>
        <w:rPr>
          <w:rFonts w:ascii="Times New Roman" w:hAnsi="Times New Roman" w:eastAsia="宋体" w:cs="Times New Roman"/>
          <w:color w:val="000000"/>
          <w:sz w:val="32"/>
          <w:szCs w:val="24"/>
        </w:rPr>
        <w:t xml:space="preserve"> </w:t>
      </w:r>
      <w:r>
        <w:rPr>
          <w:rFonts w:hint="eastAsia" w:ascii="Times New Roman" w:hAnsi="Times New Roman" w:eastAsia="宋体" w:cs="Times New Roman"/>
          <w:color w:val="000000"/>
          <w:sz w:val="32"/>
          <w:szCs w:val="24"/>
        </w:rPr>
        <w:t xml:space="preserve">  </w:t>
      </w:r>
      <w:r>
        <w:rPr>
          <w:rFonts w:hint="eastAsia" w:ascii="Times New Roman" w:hAnsi="Times New Roman" w:eastAsia="宋体" w:cs="Times New Roman"/>
          <w:color w:val="000000"/>
          <w:sz w:val="30"/>
          <w:szCs w:val="24"/>
        </w:rPr>
        <w:t xml:space="preserve">T/CCES </w:t>
      </w:r>
      <w:r>
        <w:rPr>
          <w:rFonts w:ascii="Times New Roman" w:hAnsi="Times New Roman" w:eastAsia="宋体" w:cs="Times New Roman"/>
          <w:color w:val="000000"/>
          <w:sz w:val="30"/>
          <w:szCs w:val="24"/>
        </w:rPr>
        <w:t>X</w:t>
      </w:r>
      <w:r>
        <w:rPr>
          <w:rFonts w:hint="eastAsia" w:ascii="Times New Roman" w:hAnsi="Times New Roman" w:eastAsia="宋体" w:cs="Times New Roman"/>
          <w:color w:val="000000"/>
          <w:sz w:val="30"/>
          <w:szCs w:val="24"/>
        </w:rPr>
        <w:t>－20</w:t>
      </w:r>
      <w:r>
        <w:rPr>
          <w:rFonts w:ascii="Times New Roman" w:hAnsi="Times New Roman" w:eastAsia="宋体" w:cs="Times New Roman"/>
          <w:color w:val="000000"/>
          <w:sz w:val="30"/>
          <w:szCs w:val="24"/>
        </w:rPr>
        <w:t>XX</w:t>
      </w:r>
    </w:p>
    <w:p w14:paraId="5CCBE27F">
      <w:pPr>
        <w:spacing w:line="360" w:lineRule="auto"/>
        <w:ind w:left="-735"/>
        <w:rPr>
          <w:color w:val="000000"/>
        </w:rPr>
      </w:pPr>
      <w:r>
        <w:rPr>
          <w:color w:val="000000"/>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5943600" cy="0"/>
                <wp:effectExtent l="9525" t="14605" r="9525" b="13970"/>
                <wp:wrapNone/>
                <wp:docPr id="1149851356"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直接连接符 2"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n&#10;6BrVAAAACQEAAA8AAAAAAAAAAQAgAAAAIgAAAGRycy9kb3ducmV2LnhtbFBLAQIUABQAAAAIAIdO&#10;4kBdx+mY7QEAALQDAAAOAAAAAAAAAAEAIAAAACQBAABkcnMvZTJvRG9jLnhtbFBLBQYAAAAABgAG&#10;AFkBAACDBQAAAAA=&#10;">
                <v:fill on="f" focussize="0,0"/>
                <v:stroke weight="1.5pt" color="#000000" joinstyle="round"/>
                <v:imagedata o:title=""/>
                <o:lock v:ext="edit" aspectratio="f"/>
              </v:line>
            </w:pict>
          </mc:Fallback>
        </mc:AlternateContent>
      </w:r>
    </w:p>
    <w:p w14:paraId="57809F0F">
      <w:pPr>
        <w:autoSpaceDE w:val="0"/>
        <w:autoSpaceDN w:val="0"/>
        <w:spacing w:line="360" w:lineRule="auto"/>
        <w:ind w:right="65"/>
        <w:jc w:val="center"/>
        <w:textAlignment w:val="bottom"/>
        <w:rPr>
          <w:rFonts w:eastAsia="黑体"/>
          <w:color w:val="000000"/>
          <w:sz w:val="36"/>
        </w:rPr>
      </w:pPr>
    </w:p>
    <w:p w14:paraId="6213A3DD">
      <w:pPr>
        <w:widowControl/>
        <w:jc w:val="center"/>
        <w:rPr>
          <w:rFonts w:hint="eastAsia" w:ascii="Times New Roman" w:hAnsi="Times New Roman" w:eastAsia="黑体" w:cs="Times New Roman"/>
          <w:color w:val="000000"/>
          <w:sz w:val="48"/>
          <w:szCs w:val="48"/>
        </w:rPr>
      </w:pPr>
      <w:r>
        <w:rPr>
          <w:rFonts w:hint="eastAsia" w:ascii="Times New Roman" w:hAnsi="Times New Roman" w:eastAsia="黑体" w:cs="Times New Roman"/>
          <w:color w:val="000000"/>
          <w:sz w:val="48"/>
          <w:szCs w:val="48"/>
        </w:rPr>
        <w:t>城市客车用动力蓄电池系统安全技术要求</w:t>
      </w:r>
    </w:p>
    <w:p w14:paraId="3D103CCE">
      <w:pPr>
        <w:widowControl/>
        <w:spacing w:line="360" w:lineRule="auto"/>
        <w:jc w:val="center"/>
        <w:rPr>
          <w:rFonts w:hint="eastAsia" w:ascii="Times New Roman" w:hAnsi="Times New Roman" w:eastAsia="宋体" w:cs="Times New Roman"/>
          <w:color w:val="000000"/>
          <w:sz w:val="30"/>
          <w:szCs w:val="24"/>
        </w:rPr>
      </w:pPr>
      <w:r>
        <w:rPr>
          <w:rFonts w:hint="eastAsia" w:ascii="Times New Roman" w:hAnsi="Times New Roman" w:eastAsia="宋体" w:cs="Times New Roman"/>
          <w:color w:val="000000"/>
          <w:sz w:val="30"/>
          <w:szCs w:val="24"/>
        </w:rPr>
        <w:t>Technical Requirements for Power Battery Safety Prevention and Control System for City Buses</w:t>
      </w:r>
    </w:p>
    <w:p w14:paraId="405CBFAE">
      <w:pPr>
        <w:widowControl/>
        <w:spacing w:line="360" w:lineRule="auto"/>
        <w:ind w:firstLine="3300" w:firstLineChars="1100"/>
        <w:jc w:val="left"/>
        <w:rPr>
          <w:rFonts w:ascii="Times New Roman" w:hAnsi="Times New Roman" w:eastAsia="黑体" w:cs="Times New Roman"/>
          <w:color w:val="000000"/>
          <w:sz w:val="30"/>
          <w:szCs w:val="24"/>
        </w:rPr>
      </w:pPr>
      <w:r>
        <w:rPr>
          <w:rFonts w:hint="eastAsia" w:ascii="Times New Roman" w:hAnsi="Times New Roman" w:eastAsia="黑体" w:cs="Times New Roman"/>
          <w:color w:val="000000"/>
          <w:sz w:val="30"/>
          <w:szCs w:val="24"/>
        </w:rPr>
        <w:t>（征求意见稿）</w:t>
      </w:r>
    </w:p>
    <w:p w14:paraId="7B1B8BD9">
      <w:pPr>
        <w:spacing w:line="360" w:lineRule="auto"/>
        <w:rPr>
          <w:rFonts w:eastAsia="黑体"/>
          <w:color w:val="000000"/>
          <w:sz w:val="30"/>
        </w:rPr>
      </w:pPr>
    </w:p>
    <w:p w14:paraId="0BCC4E62">
      <w:pPr>
        <w:spacing w:line="360" w:lineRule="auto"/>
        <w:rPr>
          <w:rFonts w:eastAsia="黑体"/>
          <w:color w:val="000000"/>
          <w:sz w:val="30"/>
        </w:rPr>
      </w:pPr>
    </w:p>
    <w:p w14:paraId="604D5DD9">
      <w:pPr>
        <w:spacing w:line="360" w:lineRule="auto"/>
        <w:rPr>
          <w:rFonts w:eastAsia="黑体"/>
          <w:color w:val="000000"/>
          <w:sz w:val="30"/>
        </w:rPr>
      </w:pPr>
    </w:p>
    <w:p w14:paraId="63A40AEC">
      <w:pPr>
        <w:spacing w:line="360" w:lineRule="auto"/>
        <w:rPr>
          <w:rFonts w:eastAsia="黑体"/>
          <w:color w:val="000000"/>
          <w:sz w:val="30"/>
        </w:rPr>
      </w:pPr>
    </w:p>
    <w:p w14:paraId="6EFEDBAB">
      <w:pPr>
        <w:spacing w:line="360" w:lineRule="auto"/>
        <w:rPr>
          <w:rFonts w:ascii="Arial" w:hAnsi="Arial" w:cs="Arial"/>
          <w:color w:val="333333"/>
          <w:sz w:val="24"/>
          <w:shd w:val="clear" w:color="auto" w:fill="FFFFFF"/>
        </w:rPr>
      </w:pPr>
    </w:p>
    <w:p w14:paraId="493A105B">
      <w:pPr>
        <w:spacing w:line="360" w:lineRule="auto"/>
        <w:rPr>
          <w:rFonts w:ascii="Arial" w:hAnsi="Arial" w:cs="Arial"/>
          <w:color w:val="333333"/>
          <w:sz w:val="24"/>
          <w:shd w:val="clear" w:color="auto" w:fill="FFFFFF"/>
        </w:rPr>
      </w:pPr>
    </w:p>
    <w:p w14:paraId="60EA2E54">
      <w:pPr>
        <w:spacing w:line="360" w:lineRule="auto"/>
        <w:rPr>
          <w:rFonts w:eastAsia="黑体"/>
          <w:color w:val="000000"/>
          <w:sz w:val="30"/>
        </w:rPr>
      </w:pPr>
    </w:p>
    <w:p w14:paraId="4B923DD0">
      <w:pPr>
        <w:spacing w:line="360" w:lineRule="auto"/>
        <w:rPr>
          <w:rFonts w:eastAsia="黑体"/>
          <w:color w:val="000000"/>
          <w:sz w:val="30"/>
        </w:rPr>
      </w:pPr>
    </w:p>
    <w:p w14:paraId="50AD7DBB">
      <w:pPr>
        <w:widowControl/>
        <w:spacing w:line="360" w:lineRule="auto"/>
        <w:jc w:val="left"/>
        <w:rPr>
          <w:rFonts w:ascii="Times New Roman" w:hAnsi="Times New Roman" w:eastAsia="黑体" w:cs="Times New Roman"/>
          <w:color w:val="000000"/>
          <w:sz w:val="30"/>
          <w:szCs w:val="24"/>
        </w:rPr>
      </w:pPr>
      <w:r>
        <w:rPr>
          <w:rFonts w:ascii="Times New Roman" w:hAnsi="Times New Roman" w:eastAsia="黑体" w:cs="Times New Roman"/>
          <w:color w:val="000000"/>
          <w:sz w:val="30"/>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326390</wp:posOffset>
                </wp:positionV>
                <wp:extent cx="5724525" cy="0"/>
                <wp:effectExtent l="0" t="9525" r="9525" b="9525"/>
                <wp:wrapNone/>
                <wp:docPr id="3" name="直接连接符 3"/>
                <wp:cNvGraphicFramePr/>
                <a:graphic xmlns:a="http://schemas.openxmlformats.org/drawingml/2006/main">
                  <a:graphicData uri="http://schemas.microsoft.com/office/word/2010/wordprocessingShape">
                    <wps:wsp>
                      <wps:cNvCnPr/>
                      <wps:spPr>
                        <a:xfrm>
                          <a:off x="0" y="0"/>
                          <a:ext cx="572452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nnB+1QAAAAgBAAAPAAAAAAAAAAEAIAAAACIAAABkcnMvZG93bnJldi54bWxQSwECFAAUAAAACACH&#10;TuJA5jeAtu4BAADZAwAADgAAAAAAAAABACAAAAAkAQAAZHJzL2Uyb0RvYy54bWxQSwUGAAAAAAYA&#10;BgBZAQAAhAUAAAAA&#10;">
                <v:fill on="f" focussize="0,0"/>
                <v:stroke weight="1.5pt" color="#000000" joinstyle="round"/>
                <v:imagedata o:title=""/>
                <o:lock v:ext="edit" aspectratio="f"/>
              </v:line>
            </w:pict>
          </mc:Fallback>
        </mc:AlternateContent>
      </w:r>
      <w:r>
        <w:rPr>
          <w:rFonts w:hint="eastAsia" w:ascii="Times New Roman" w:hAnsi="Times New Roman" w:eastAsia="黑体" w:cs="Times New Roman"/>
          <w:color w:val="000000"/>
          <w:sz w:val="30"/>
          <w:szCs w:val="24"/>
        </w:rPr>
        <w:t>20</w:t>
      </w:r>
      <w:r>
        <w:rPr>
          <w:rFonts w:ascii="Times New Roman" w:hAnsi="Times New Roman" w:eastAsia="黑体" w:cs="Times New Roman"/>
          <w:color w:val="000000"/>
          <w:sz w:val="30"/>
          <w:szCs w:val="24"/>
        </w:rPr>
        <w:t>XX–XX–XX</w:t>
      </w:r>
      <w:r>
        <w:rPr>
          <w:rFonts w:hint="eastAsia" w:ascii="Times New Roman" w:hAnsi="Times New Roman" w:eastAsia="黑体" w:cs="Times New Roman"/>
          <w:color w:val="000000"/>
          <w:sz w:val="30"/>
          <w:szCs w:val="24"/>
        </w:rPr>
        <w:t xml:space="preserve"> 发布</w:t>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ab/>
      </w:r>
      <w:r>
        <w:rPr>
          <w:rFonts w:hint="eastAsia" w:ascii="Times New Roman" w:hAnsi="Times New Roman" w:eastAsia="黑体" w:cs="Times New Roman"/>
          <w:color w:val="000000"/>
          <w:sz w:val="30"/>
          <w:szCs w:val="24"/>
        </w:rPr>
        <w:t xml:space="preserve"> </w:t>
      </w:r>
      <w:r>
        <w:rPr>
          <w:rFonts w:ascii="Times New Roman" w:hAnsi="Times New Roman" w:eastAsia="黑体" w:cs="Times New Roman"/>
          <w:color w:val="000000"/>
          <w:sz w:val="30"/>
          <w:szCs w:val="24"/>
        </w:rPr>
        <w:t xml:space="preserve">  </w:t>
      </w:r>
      <w:r>
        <w:rPr>
          <w:rFonts w:hint="eastAsia" w:ascii="Times New Roman" w:hAnsi="Times New Roman" w:eastAsia="黑体" w:cs="Times New Roman"/>
          <w:color w:val="000000"/>
          <w:sz w:val="30"/>
          <w:szCs w:val="24"/>
        </w:rPr>
        <w:t>20</w:t>
      </w:r>
      <w:r>
        <w:rPr>
          <w:rFonts w:ascii="Times New Roman" w:hAnsi="Times New Roman" w:eastAsia="黑体" w:cs="Times New Roman"/>
          <w:color w:val="000000"/>
          <w:sz w:val="30"/>
          <w:szCs w:val="24"/>
        </w:rPr>
        <w:t>XX–XX–XX</w:t>
      </w:r>
      <w:r>
        <w:rPr>
          <w:rFonts w:hint="eastAsia" w:ascii="Times New Roman" w:hAnsi="Times New Roman" w:eastAsia="黑体" w:cs="Times New Roman"/>
          <w:color w:val="000000"/>
          <w:sz w:val="30"/>
          <w:szCs w:val="24"/>
        </w:rPr>
        <w:t xml:space="preserve"> 实施</w:t>
      </w:r>
    </w:p>
    <w:p w14:paraId="14BCB72F">
      <w:pPr>
        <w:widowControl/>
        <w:spacing w:line="360" w:lineRule="auto"/>
        <w:jc w:val="center"/>
        <w:rPr>
          <w:rFonts w:ascii="Times New Roman" w:hAnsi="Times New Roman" w:eastAsia="黑体" w:cs="Times New Roman"/>
          <w:color w:val="000000"/>
          <w:sz w:val="30"/>
          <w:szCs w:val="24"/>
        </w:rPr>
      </w:pPr>
      <w:r>
        <w:rPr>
          <w:rFonts w:hint="eastAsia" w:ascii="Times New Roman" w:hAnsi="Times New Roman" w:eastAsia="黑体" w:cs="Times New Roman"/>
          <w:color w:val="000000"/>
          <w:sz w:val="30"/>
          <w:szCs w:val="24"/>
        </w:rPr>
        <w:t>中国土木工程学会    发布</w:t>
      </w:r>
    </w:p>
    <w:p w14:paraId="0D08E9B7">
      <w:pPr>
        <w:spacing w:line="360" w:lineRule="auto"/>
        <w:jc w:val="center"/>
        <w:rPr>
          <w:rFonts w:eastAsia="黑体"/>
          <w:color w:val="000000"/>
          <w:sz w:val="30"/>
        </w:rPr>
      </w:pPr>
    </w:p>
    <w:p w14:paraId="1E3833D0">
      <w:pPr>
        <w:rPr>
          <w:color w:val="000000"/>
        </w:rPr>
        <w:sectPr>
          <w:footerReference r:id="rId3" w:type="even"/>
          <w:pgSz w:w="11907" w:h="16840"/>
          <w:pgMar w:top="1418" w:right="1440" w:bottom="1418" w:left="1440" w:header="851" w:footer="992" w:gutter="0"/>
          <w:cols w:space="425" w:num="1"/>
          <w:docGrid w:type="lines" w:linePitch="312" w:charSpace="0"/>
        </w:sectPr>
      </w:pPr>
    </w:p>
    <w:p w14:paraId="0420740F">
      <w:pPr>
        <w:rPr>
          <w:rFonts w:eastAsia="黑体"/>
          <w:b/>
          <w:color w:val="000000"/>
          <w:sz w:val="32"/>
          <w:szCs w:val="32"/>
        </w:rPr>
      </w:pPr>
    </w:p>
    <w:p w14:paraId="49FF0AF1">
      <w:pPr>
        <w:jc w:val="center"/>
        <w:rPr>
          <w:rFonts w:ascii="宋体" w:hAnsi="宋体"/>
          <w:b/>
          <w:color w:val="000000"/>
          <w:sz w:val="32"/>
          <w:szCs w:val="32"/>
        </w:rPr>
      </w:pPr>
      <w:r>
        <w:rPr>
          <w:rFonts w:hint="eastAsia" w:ascii="宋体" w:hAnsi="宋体"/>
          <w:b/>
          <w:color w:val="000000"/>
          <w:sz w:val="32"/>
          <w:szCs w:val="32"/>
        </w:rPr>
        <w:t>中国土木工程学会标准</w:t>
      </w:r>
    </w:p>
    <w:p w14:paraId="2F92DB6A">
      <w:pPr>
        <w:jc w:val="center"/>
        <w:rPr>
          <w:rFonts w:eastAsia="黑体"/>
          <w:b/>
          <w:color w:val="000000"/>
          <w:sz w:val="32"/>
          <w:szCs w:val="32"/>
        </w:rPr>
      </w:pPr>
    </w:p>
    <w:p w14:paraId="2E0DB9A0">
      <w:pPr>
        <w:jc w:val="center"/>
        <w:rPr>
          <w:rFonts w:eastAsia="黑体"/>
          <w:b/>
          <w:color w:val="000000"/>
          <w:sz w:val="32"/>
          <w:szCs w:val="32"/>
        </w:rPr>
      </w:pPr>
    </w:p>
    <w:p w14:paraId="37C92513">
      <w:pPr>
        <w:jc w:val="center"/>
        <w:rPr>
          <w:rFonts w:eastAsia="黑体"/>
          <w:b/>
          <w:color w:val="000000"/>
          <w:sz w:val="32"/>
          <w:szCs w:val="32"/>
        </w:rPr>
      </w:pPr>
    </w:p>
    <w:p w14:paraId="026C824D">
      <w:pPr>
        <w:jc w:val="center"/>
        <w:rPr>
          <w:rFonts w:eastAsia="黑体"/>
          <w:b/>
          <w:color w:val="000000"/>
          <w:sz w:val="28"/>
          <w:szCs w:val="28"/>
        </w:rPr>
      </w:pPr>
      <w:r>
        <w:rPr>
          <w:rFonts w:hint="eastAsia" w:eastAsia="黑体"/>
          <w:color w:val="000000"/>
          <w:sz w:val="48"/>
          <w:szCs w:val="48"/>
        </w:rPr>
        <w:t>城市客车用动力蓄电池系统安全技术要求</w:t>
      </w:r>
      <w:r>
        <w:rPr>
          <w:rFonts w:hint="eastAsia" w:ascii="Times New Roman" w:hAnsi="Times New Roman" w:eastAsia="宋体" w:cs="Times New Roman"/>
          <w:color w:val="000000"/>
          <w:sz w:val="30"/>
          <w:szCs w:val="24"/>
        </w:rPr>
        <w:t>Technical Requirements for Power Battery Safety Prevention and Control System for City Buses</w:t>
      </w:r>
    </w:p>
    <w:p w14:paraId="67DEEBD3">
      <w:pPr>
        <w:jc w:val="center"/>
        <w:rPr>
          <w:rFonts w:eastAsia="黑体"/>
          <w:b/>
          <w:color w:val="000000"/>
          <w:sz w:val="28"/>
          <w:szCs w:val="28"/>
        </w:rPr>
      </w:pPr>
    </w:p>
    <w:p w14:paraId="61173D10">
      <w:pPr>
        <w:jc w:val="center"/>
        <w:rPr>
          <w:rFonts w:eastAsia="黑体"/>
          <w:b/>
          <w:color w:val="000000"/>
          <w:sz w:val="28"/>
          <w:szCs w:val="28"/>
        </w:rPr>
      </w:pPr>
      <w:r>
        <w:rPr>
          <w:rFonts w:hint="eastAsia" w:eastAsia="黑体"/>
          <w:b/>
          <w:color w:val="000000"/>
          <w:sz w:val="28"/>
          <w:szCs w:val="28"/>
        </w:rPr>
        <w:t xml:space="preserve">T/CCES </w:t>
      </w:r>
      <w:r>
        <w:rPr>
          <w:rFonts w:eastAsia="黑体"/>
          <w:b/>
          <w:color w:val="000000"/>
          <w:sz w:val="28"/>
          <w:szCs w:val="28"/>
        </w:rPr>
        <w:t>X</w:t>
      </w:r>
      <w:r>
        <w:rPr>
          <w:rFonts w:hint="eastAsia" w:eastAsia="黑体"/>
          <w:b/>
          <w:color w:val="000000"/>
          <w:sz w:val="28"/>
          <w:szCs w:val="28"/>
        </w:rPr>
        <w:t>－20</w:t>
      </w:r>
      <w:r>
        <w:rPr>
          <w:rFonts w:eastAsia="黑体"/>
          <w:b/>
          <w:color w:val="000000"/>
          <w:sz w:val="28"/>
          <w:szCs w:val="28"/>
        </w:rPr>
        <w:t>XX</w:t>
      </w:r>
    </w:p>
    <w:p w14:paraId="4A77B367">
      <w:pPr>
        <w:ind w:firstLine="3233" w:firstLineChars="1150"/>
        <w:rPr>
          <w:rFonts w:eastAsia="黑体"/>
          <w:b/>
          <w:color w:val="000000"/>
          <w:sz w:val="28"/>
          <w:szCs w:val="28"/>
        </w:rPr>
      </w:pPr>
    </w:p>
    <w:p w14:paraId="0EBD7829">
      <w:pPr>
        <w:ind w:firstLine="2520" w:firstLineChars="900"/>
        <w:rPr>
          <w:rFonts w:ascii="宋体" w:hAnsi="宋体"/>
          <w:color w:val="000000"/>
          <w:sz w:val="28"/>
          <w:szCs w:val="28"/>
        </w:rPr>
      </w:pPr>
    </w:p>
    <w:p w14:paraId="740A2541">
      <w:pPr>
        <w:ind w:firstLine="2520" w:firstLineChars="900"/>
        <w:rPr>
          <w:rFonts w:ascii="宋体" w:hAnsi="宋体"/>
          <w:color w:val="000000"/>
          <w:sz w:val="28"/>
          <w:szCs w:val="28"/>
        </w:rPr>
      </w:pPr>
      <w:r>
        <w:rPr>
          <w:rFonts w:hint="eastAsia" w:ascii="宋体" w:hAnsi="宋体"/>
          <w:color w:val="000000"/>
          <w:sz w:val="28"/>
          <w:szCs w:val="28"/>
        </w:rPr>
        <w:t>批准单位：中国土木工程学会</w:t>
      </w:r>
    </w:p>
    <w:p w14:paraId="7A5F2C05">
      <w:pPr>
        <w:ind w:firstLine="2520" w:firstLineChars="900"/>
        <w:rPr>
          <w:rFonts w:ascii="宋体" w:hAnsi="宋体"/>
          <w:color w:val="000000"/>
          <w:szCs w:val="21"/>
        </w:rPr>
      </w:pPr>
      <w:r>
        <w:rPr>
          <w:rFonts w:hint="eastAsia" w:ascii="宋体" w:hAnsi="宋体"/>
          <w:color w:val="000000"/>
          <w:sz w:val="28"/>
          <w:szCs w:val="28"/>
        </w:rPr>
        <w:t>施行日期：20</w:t>
      </w:r>
      <w:r>
        <w:rPr>
          <w:rFonts w:ascii="宋体" w:hAnsi="宋体"/>
          <w:color w:val="000000"/>
          <w:sz w:val="28"/>
          <w:szCs w:val="28"/>
        </w:rPr>
        <w:t>XX</w:t>
      </w:r>
      <w:r>
        <w:rPr>
          <w:rFonts w:hint="eastAsia" w:ascii="宋体" w:hAnsi="宋体"/>
          <w:color w:val="000000"/>
          <w:sz w:val="28"/>
          <w:szCs w:val="28"/>
        </w:rPr>
        <w:t>年</w:t>
      </w:r>
      <w:r>
        <w:rPr>
          <w:rFonts w:ascii="宋体" w:hAnsi="宋体"/>
          <w:color w:val="000000"/>
          <w:sz w:val="28"/>
          <w:szCs w:val="28"/>
        </w:rPr>
        <w:t>X</w:t>
      </w:r>
      <w:r>
        <w:rPr>
          <w:rFonts w:hint="eastAsia" w:ascii="宋体" w:hAnsi="宋体"/>
          <w:color w:val="000000"/>
          <w:sz w:val="28"/>
          <w:szCs w:val="28"/>
        </w:rPr>
        <w:t>月</w:t>
      </w:r>
      <w:r>
        <w:rPr>
          <w:rFonts w:ascii="宋体" w:hAnsi="宋体"/>
          <w:color w:val="000000"/>
          <w:sz w:val="28"/>
          <w:szCs w:val="28"/>
        </w:rPr>
        <w:t>X</w:t>
      </w:r>
      <w:r>
        <w:rPr>
          <w:rFonts w:hint="eastAsia" w:ascii="宋体" w:hAnsi="宋体"/>
          <w:color w:val="000000"/>
          <w:sz w:val="28"/>
          <w:szCs w:val="28"/>
        </w:rPr>
        <w:t>日</w:t>
      </w:r>
    </w:p>
    <w:p w14:paraId="064B7FBC">
      <w:pPr>
        <w:rPr>
          <w:rFonts w:eastAsia="黑体"/>
          <w:b/>
          <w:color w:val="000000"/>
          <w:sz w:val="32"/>
          <w:szCs w:val="32"/>
        </w:rPr>
      </w:pPr>
    </w:p>
    <w:p w14:paraId="3DAD20E4">
      <w:pPr>
        <w:rPr>
          <w:rFonts w:eastAsia="黑体"/>
          <w:b/>
          <w:color w:val="000000"/>
          <w:sz w:val="32"/>
          <w:szCs w:val="32"/>
        </w:rPr>
      </w:pPr>
    </w:p>
    <w:p w14:paraId="28BDBCD6">
      <w:pPr>
        <w:jc w:val="center"/>
        <w:rPr>
          <w:rFonts w:eastAsia="仿宋_GB2312"/>
          <w:color w:val="000000"/>
          <w:sz w:val="28"/>
          <w:szCs w:val="28"/>
        </w:rPr>
      </w:pPr>
    </w:p>
    <w:p w14:paraId="5285A2AA">
      <w:pPr>
        <w:jc w:val="center"/>
        <w:rPr>
          <w:rFonts w:eastAsia="仿宋_GB2312"/>
          <w:color w:val="000000"/>
          <w:sz w:val="28"/>
          <w:szCs w:val="28"/>
        </w:rPr>
      </w:pPr>
    </w:p>
    <w:p w14:paraId="604F926C">
      <w:pPr>
        <w:jc w:val="center"/>
        <w:rPr>
          <w:rFonts w:eastAsia="仿宋_GB2312"/>
          <w:color w:val="000000"/>
          <w:sz w:val="28"/>
          <w:szCs w:val="28"/>
        </w:rPr>
      </w:pPr>
    </w:p>
    <w:p w14:paraId="02BE02A1">
      <w:pPr>
        <w:jc w:val="left"/>
        <w:rPr>
          <w:rFonts w:ascii="黑体" w:hAnsi="黑体" w:eastAsia="黑体"/>
          <w:color w:val="000000"/>
          <w:sz w:val="28"/>
          <w:szCs w:val="28"/>
        </w:rPr>
      </w:pPr>
    </w:p>
    <w:p w14:paraId="2256FDEF">
      <w:pPr>
        <w:jc w:val="center"/>
        <w:rPr>
          <w:rFonts w:ascii="黑体" w:hAnsi="黑体" w:eastAsia="黑体"/>
          <w:color w:val="000000"/>
          <w:sz w:val="28"/>
          <w:szCs w:val="28"/>
        </w:rPr>
        <w:sectPr>
          <w:pgSz w:w="11906" w:h="16838"/>
          <w:pgMar w:top="1440" w:right="1274" w:bottom="1418" w:left="1701" w:header="851" w:footer="992" w:gutter="0"/>
          <w:cols w:space="425" w:num="1"/>
          <w:docGrid w:type="lines" w:linePitch="312" w:charSpace="0"/>
        </w:sectPr>
      </w:pPr>
      <w:r>
        <w:rPr>
          <w:rFonts w:ascii="黑体" w:hAnsi="黑体" w:eastAsia="黑体"/>
          <w:color w:val="000000"/>
          <w:sz w:val="28"/>
          <w:szCs w:val="28"/>
        </w:rPr>
        <w:t>20XX  北</w:t>
      </w:r>
      <w:r>
        <w:rPr>
          <w:rFonts w:hint="eastAsia" w:ascii="黑体" w:hAnsi="黑体" w:eastAsia="黑体"/>
          <w:color w:val="000000"/>
          <w:sz w:val="28"/>
          <w:szCs w:val="28"/>
        </w:rPr>
        <w:t xml:space="preserve">  </w:t>
      </w:r>
      <w:r>
        <w:rPr>
          <w:rFonts w:ascii="黑体" w:hAnsi="黑体" w:eastAsia="黑体"/>
          <w:color w:val="000000"/>
          <w:sz w:val="28"/>
          <w:szCs w:val="28"/>
        </w:rPr>
        <w:t>京</w:t>
      </w:r>
    </w:p>
    <w:p w14:paraId="2839A60F">
      <w:pPr>
        <w:keepNext/>
        <w:keepLines/>
        <w:widowControl/>
        <w:spacing w:before="312" w:beforeLines="100" w:after="312" w:afterLines="100" w:line="360" w:lineRule="auto"/>
        <w:jc w:val="center"/>
        <w:rPr>
          <w:rFonts w:ascii="Times New Roman" w:hAnsi="Times New Roman" w:eastAsia="宋体" w:cs="Times New Roman"/>
          <w:b/>
          <w:color w:val="000000"/>
          <w:kern w:val="0"/>
          <w:sz w:val="32"/>
          <w:szCs w:val="32"/>
          <w:lang w:val="zh-CN"/>
        </w:rPr>
      </w:pPr>
      <w:r>
        <w:rPr>
          <w:rFonts w:ascii="Times New Roman" w:hAnsi="Times New Roman" w:eastAsia="宋体" w:cs="Times New Roman"/>
          <w:b/>
          <w:color w:val="000000"/>
          <w:kern w:val="0"/>
          <w:sz w:val="32"/>
          <w:szCs w:val="32"/>
          <w:lang w:val="zh-CN"/>
        </w:rPr>
        <w:t>前  言</w:t>
      </w:r>
    </w:p>
    <w:p w14:paraId="4866C0B2">
      <w:pPr>
        <w:widowControl/>
        <w:spacing w:line="400" w:lineRule="exact"/>
        <w:ind w:firstLine="480" w:firstLineChars="2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本标准按照GB</w:t>
      </w:r>
      <w:r>
        <w:rPr>
          <w:rFonts w:ascii="Times New Roman" w:hAnsi="宋体" w:eastAsia="宋体" w:cs="Times New Roman"/>
          <w:color w:val="000000"/>
          <w:sz w:val="24"/>
          <w:szCs w:val="24"/>
        </w:rPr>
        <w:t>/T 1.1-2020</w:t>
      </w:r>
      <w:r>
        <w:rPr>
          <w:rFonts w:hint="eastAsia" w:ascii="Times New Roman" w:hAnsi="宋体" w:eastAsia="宋体" w:cs="Times New Roman"/>
          <w:color w:val="000000"/>
          <w:sz w:val="24"/>
          <w:szCs w:val="24"/>
        </w:rPr>
        <w:t>给出的规则起草。</w:t>
      </w:r>
    </w:p>
    <w:p w14:paraId="28E868D5">
      <w:pPr>
        <w:widowControl/>
        <w:spacing w:line="400" w:lineRule="exact"/>
        <w:ind w:firstLine="480" w:firstLineChars="200"/>
        <w:rPr>
          <w:rFonts w:ascii="Times New Roman" w:hAnsi="宋体" w:eastAsia="宋体" w:cs="Times New Roman"/>
          <w:color w:val="000000"/>
          <w:sz w:val="24"/>
          <w:szCs w:val="24"/>
        </w:rPr>
      </w:pPr>
      <w:r>
        <w:rPr>
          <w:rFonts w:hint="eastAsia" w:ascii="Times New Roman" w:hAnsi="宋体" w:eastAsia="宋体" w:cs="Times New Roman"/>
          <w:color w:val="000000"/>
          <w:sz w:val="24"/>
          <w:szCs w:val="24"/>
        </w:rPr>
        <w:t>本标准是根据中国土木工程学会《关于发布</w:t>
      </w:r>
      <w:r>
        <w:rPr>
          <w:rFonts w:hint="eastAsia" w:hAnsi="宋体"/>
          <w:color w:val="000000"/>
          <w:sz w:val="24"/>
        </w:rPr>
        <w:t>&lt;</w:t>
      </w:r>
      <w:r>
        <w:rPr>
          <w:rFonts w:ascii="Times New Roman" w:hAnsi="宋体" w:eastAsia="宋体" w:cs="Times New Roman"/>
          <w:color w:val="000000"/>
          <w:sz w:val="24"/>
          <w:szCs w:val="24"/>
        </w:rPr>
        <w:t>2022年土木工程学会标准立项计划&gt;的通知》（</w:t>
      </w:r>
      <w:r>
        <w:rPr>
          <w:rFonts w:hint="eastAsia" w:ascii="Times New Roman" w:hAnsi="宋体" w:eastAsia="宋体" w:cs="Times New Roman"/>
          <w:color w:val="000000"/>
          <w:sz w:val="24"/>
          <w:szCs w:val="24"/>
        </w:rPr>
        <w:t>中土学标〔2022〕10号</w:t>
      </w:r>
      <w:r>
        <w:rPr>
          <w:rFonts w:ascii="Times New Roman" w:hAnsi="宋体" w:eastAsia="宋体" w:cs="Times New Roman"/>
          <w:color w:val="000000"/>
          <w:sz w:val="24"/>
          <w:szCs w:val="24"/>
        </w:rPr>
        <w:t>）的要求，由</w:t>
      </w:r>
      <w:r>
        <w:rPr>
          <w:rFonts w:hint="eastAsia" w:ascii="Times New Roman" w:hAnsi="宋体" w:eastAsia="宋体" w:cs="Times New Roman"/>
          <w:color w:val="000000"/>
          <w:sz w:val="24"/>
          <w:szCs w:val="24"/>
        </w:rPr>
        <w:t>哲弗智能系统（上海）有限公司</w:t>
      </w:r>
      <w:r>
        <w:rPr>
          <w:rFonts w:ascii="Times New Roman" w:hAnsi="宋体" w:eastAsia="宋体" w:cs="Times New Roman"/>
          <w:color w:val="000000"/>
          <w:sz w:val="24"/>
          <w:szCs w:val="24"/>
        </w:rPr>
        <w:t>会同有关单位编制完成。</w:t>
      </w:r>
    </w:p>
    <w:p w14:paraId="20413C4F">
      <w:pPr>
        <w:widowControl/>
        <w:spacing w:line="400" w:lineRule="exact"/>
        <w:ind w:firstLine="480" w:firstLineChars="200"/>
        <w:rPr>
          <w:rFonts w:ascii="Times New Roman" w:hAnsi="Times New Roman" w:eastAsia="宋体" w:cs="Times New Roman"/>
          <w:color w:val="000000"/>
          <w:sz w:val="24"/>
          <w:szCs w:val="24"/>
        </w:rPr>
      </w:pPr>
      <w:r>
        <w:rPr>
          <w:rFonts w:hint="eastAsia" w:ascii="Times New Roman" w:hAnsi="宋体" w:eastAsia="宋体" w:cs="Times New Roman"/>
          <w:color w:val="000000"/>
          <w:sz w:val="24"/>
          <w:szCs w:val="24"/>
        </w:rPr>
        <w:t>在本标准编制过程中，编制组</w:t>
      </w:r>
      <w:r>
        <w:rPr>
          <w:rFonts w:ascii="Times New Roman" w:hAnsi="Times New Roman" w:eastAsia="宋体" w:cs="Times New Roman"/>
          <w:color w:val="000000"/>
          <w:sz w:val="24"/>
          <w:szCs w:val="24"/>
        </w:rPr>
        <w:t>广泛调查研究</w:t>
      </w:r>
      <w:r>
        <w:rPr>
          <w:rFonts w:hint="eastAsia" w:ascii="Times New Roman" w:hAnsi="Times New Roman" w:eastAsia="宋体" w:cs="Times New Roman"/>
          <w:color w:val="000000"/>
          <w:sz w:val="24"/>
          <w:szCs w:val="24"/>
        </w:rPr>
        <w:t>和</w:t>
      </w:r>
      <w:r>
        <w:rPr>
          <w:rFonts w:ascii="Times New Roman" w:hAnsi="宋体" w:eastAsia="宋体" w:cs="Times New Roman"/>
          <w:color w:val="000000"/>
          <w:sz w:val="24"/>
          <w:szCs w:val="24"/>
        </w:rPr>
        <w:t>总结</w:t>
      </w:r>
      <w:r>
        <w:rPr>
          <w:rFonts w:hint="eastAsia" w:ascii="Times New Roman" w:hAnsi="宋体" w:eastAsia="宋体" w:cs="Times New Roman"/>
          <w:color w:val="000000"/>
          <w:sz w:val="24"/>
          <w:szCs w:val="24"/>
        </w:rPr>
        <w:t>了</w:t>
      </w:r>
      <w:r>
        <w:rPr>
          <w:rFonts w:hint="eastAsia" w:ascii="Times New Roman" w:hAnsi="宋体" w:eastAsia="宋体" w:cs="Times New Roman"/>
          <w:color w:val="000000"/>
          <w:sz w:val="24"/>
          <w:szCs w:val="24"/>
          <w:lang w:val="en-US" w:eastAsia="zh-CN"/>
        </w:rPr>
        <w:t>城市客车用动力蓄电池系统安全技术</w:t>
      </w:r>
      <w:r>
        <w:rPr>
          <w:rFonts w:hint="eastAsia" w:ascii="Times New Roman" w:hAnsi="宋体" w:eastAsia="宋体" w:cs="Times New Roman"/>
          <w:color w:val="000000"/>
          <w:sz w:val="24"/>
          <w:szCs w:val="24"/>
        </w:rPr>
        <w:t>情况，并在广泛征求意见基础上，对具体内容进行了反复讨论、协调和修改，最后经审查定稿。</w:t>
      </w:r>
    </w:p>
    <w:p w14:paraId="185D0784">
      <w:pPr>
        <w:widowControl/>
        <w:spacing w:line="400" w:lineRule="exact"/>
        <w:ind w:firstLine="480" w:firstLineChars="200"/>
        <w:rPr>
          <w:rFonts w:ascii="Times New Roman" w:hAnsi="宋体" w:eastAsia="宋体" w:cs="Times New Roman"/>
          <w:color w:val="000000"/>
          <w:sz w:val="24"/>
          <w:szCs w:val="24"/>
        </w:rPr>
      </w:pPr>
      <w:r>
        <w:rPr>
          <w:rFonts w:ascii="Times New Roman" w:hAnsi="宋体" w:eastAsia="宋体" w:cs="Times New Roman"/>
          <w:color w:val="000000"/>
          <w:sz w:val="24"/>
          <w:szCs w:val="24"/>
        </w:rPr>
        <w:t>本</w:t>
      </w:r>
      <w:r>
        <w:rPr>
          <w:rFonts w:hint="eastAsia" w:ascii="Times New Roman" w:hAnsi="宋体" w:eastAsia="宋体" w:cs="Times New Roman"/>
          <w:color w:val="000000"/>
          <w:sz w:val="24"/>
          <w:szCs w:val="24"/>
        </w:rPr>
        <w:t>标准的</w:t>
      </w:r>
      <w:r>
        <w:rPr>
          <w:rFonts w:ascii="Times New Roman" w:hAnsi="宋体" w:eastAsia="宋体" w:cs="Times New Roman"/>
          <w:color w:val="000000"/>
          <w:sz w:val="24"/>
          <w:szCs w:val="24"/>
        </w:rPr>
        <w:t>主要</w:t>
      </w:r>
      <w:r>
        <w:rPr>
          <w:rFonts w:hint="eastAsia" w:ascii="Times New Roman" w:hAnsi="宋体" w:eastAsia="宋体" w:cs="Times New Roman"/>
          <w:color w:val="000000"/>
          <w:sz w:val="24"/>
          <w:szCs w:val="24"/>
        </w:rPr>
        <w:t>技术内容是：</w:t>
      </w:r>
      <w:r>
        <w:rPr>
          <w:rFonts w:hint="eastAsia" w:ascii="Times New Roman" w:hAnsi="宋体" w:eastAsia="宋体" w:cs="Times New Roman"/>
          <w:color w:val="000000"/>
          <w:sz w:val="24"/>
          <w:szCs w:val="24"/>
          <w:lang w:val="en-US" w:eastAsia="zh-CN"/>
        </w:rPr>
        <w:t>范围、规范性引用文件、术语和定义、缩略语、</w:t>
      </w:r>
      <w:r>
        <w:rPr>
          <w:rFonts w:hint="eastAsia" w:ascii="Times New Roman" w:hAnsi="宋体" w:eastAsia="宋体" w:cs="Times New Roman"/>
          <w:color w:val="000000"/>
          <w:sz w:val="24"/>
          <w:szCs w:val="24"/>
        </w:rPr>
        <w:t>系统构成、</w:t>
      </w:r>
      <w:r>
        <w:rPr>
          <w:rFonts w:hint="eastAsia" w:ascii="Times New Roman" w:hAnsi="宋体" w:eastAsia="宋体" w:cs="Times New Roman"/>
          <w:color w:val="000000"/>
          <w:sz w:val="24"/>
          <w:szCs w:val="24"/>
          <w:lang w:val="en-US" w:eastAsia="zh-CN"/>
        </w:rPr>
        <w:t>总体</w:t>
      </w:r>
      <w:r>
        <w:rPr>
          <w:rFonts w:hint="eastAsia" w:ascii="Times New Roman" w:hAnsi="宋体" w:eastAsia="宋体" w:cs="Times New Roman"/>
          <w:color w:val="000000"/>
          <w:sz w:val="24"/>
          <w:szCs w:val="24"/>
        </w:rPr>
        <w:t>要求、</w:t>
      </w:r>
      <w:r>
        <w:rPr>
          <w:rFonts w:hint="eastAsia" w:ascii="Times New Roman" w:hAnsi="宋体" w:eastAsia="宋体" w:cs="Times New Roman"/>
          <w:color w:val="000000"/>
          <w:sz w:val="24"/>
          <w:szCs w:val="24"/>
          <w:lang w:val="en-US" w:eastAsia="zh-CN"/>
        </w:rPr>
        <w:t>动力蓄电池</w:t>
      </w:r>
      <w:r>
        <w:rPr>
          <w:rFonts w:hint="eastAsia" w:ascii="Times New Roman" w:hAnsi="宋体" w:eastAsia="宋体" w:cs="Times New Roman"/>
          <w:color w:val="000000"/>
          <w:sz w:val="24"/>
          <w:szCs w:val="24"/>
        </w:rPr>
        <w:t>系统布设、系统使用</w:t>
      </w:r>
      <w:r>
        <w:rPr>
          <w:rFonts w:hint="eastAsia" w:ascii="Times New Roman" w:hAnsi="宋体" w:eastAsia="宋体" w:cs="Times New Roman"/>
          <w:color w:val="000000"/>
          <w:sz w:val="24"/>
          <w:szCs w:val="24"/>
          <w:lang w:val="en-US" w:eastAsia="zh-CN"/>
        </w:rPr>
        <w:t>维护</w:t>
      </w:r>
      <w:r>
        <w:rPr>
          <w:rFonts w:hint="eastAsia" w:ascii="Times New Roman" w:hAnsi="宋体" w:eastAsia="宋体" w:cs="Times New Roman"/>
          <w:color w:val="000000"/>
          <w:sz w:val="24"/>
          <w:szCs w:val="24"/>
        </w:rPr>
        <w:t>。</w:t>
      </w:r>
    </w:p>
    <w:p w14:paraId="4D614717">
      <w:pPr>
        <w:widowControl/>
        <w:spacing w:line="400" w:lineRule="exact"/>
        <w:ind w:firstLine="480" w:firstLineChars="200"/>
        <w:rPr>
          <w:rFonts w:ascii="Times New Roman" w:hAnsi="宋体" w:eastAsia="宋体" w:cs="Times New Roman"/>
          <w:color w:val="5B9BD5"/>
          <w:sz w:val="24"/>
          <w:szCs w:val="24"/>
        </w:rPr>
      </w:pPr>
      <w:r>
        <w:rPr>
          <w:rFonts w:hint="eastAsia" w:ascii="Times New Roman" w:hAnsi="宋体" w:eastAsia="宋体" w:cs="Times New Roman"/>
          <w:sz w:val="24"/>
          <w:szCs w:val="24"/>
        </w:rPr>
        <w:t>请注意本标准</w:t>
      </w:r>
      <w:r>
        <w:rPr>
          <w:rFonts w:ascii="Times New Roman" w:hAnsi="宋体" w:eastAsia="宋体" w:cs="Times New Roman"/>
          <w:sz w:val="24"/>
          <w:szCs w:val="24"/>
        </w:rPr>
        <w:t>的某些内容可能涉及专利。本</w:t>
      </w:r>
      <w:r>
        <w:rPr>
          <w:rFonts w:hint="eastAsia" w:ascii="Times New Roman" w:hAnsi="宋体" w:eastAsia="宋体" w:cs="Times New Roman"/>
          <w:sz w:val="24"/>
          <w:szCs w:val="24"/>
        </w:rPr>
        <w:t>标准</w:t>
      </w:r>
      <w:r>
        <w:rPr>
          <w:rFonts w:ascii="Times New Roman" w:hAnsi="宋体" w:eastAsia="宋体" w:cs="Times New Roman"/>
          <w:sz w:val="24"/>
          <w:szCs w:val="24"/>
        </w:rPr>
        <w:t>的发布机构不承担识别</w:t>
      </w:r>
      <w:r>
        <w:rPr>
          <w:rFonts w:hint="eastAsia" w:ascii="Times New Roman" w:hAnsi="宋体" w:eastAsia="宋体" w:cs="Times New Roman"/>
          <w:sz w:val="24"/>
          <w:szCs w:val="24"/>
        </w:rPr>
        <w:t>这些</w:t>
      </w:r>
      <w:r>
        <w:rPr>
          <w:rFonts w:ascii="Times New Roman" w:hAnsi="宋体" w:eastAsia="宋体" w:cs="Times New Roman"/>
          <w:sz w:val="24"/>
          <w:szCs w:val="24"/>
        </w:rPr>
        <w:t>专利的责任。</w:t>
      </w:r>
    </w:p>
    <w:p w14:paraId="406D6960">
      <w:pPr>
        <w:widowControl/>
        <w:spacing w:line="400" w:lineRule="exact"/>
        <w:ind w:firstLine="480" w:firstLineChars="200"/>
        <w:rPr>
          <w:rFonts w:ascii="Times New Roman" w:hAnsi="宋体" w:eastAsia="宋体" w:cs="Times New Roman"/>
          <w:color w:val="000000"/>
          <w:sz w:val="24"/>
          <w:szCs w:val="24"/>
        </w:rPr>
      </w:pPr>
      <w:r>
        <w:rPr>
          <w:rFonts w:ascii="Times New Roman" w:hAnsi="宋体" w:eastAsia="宋体" w:cs="Times New Roman"/>
          <w:color w:val="000000"/>
          <w:sz w:val="24"/>
          <w:szCs w:val="24"/>
        </w:rPr>
        <w:t>本</w:t>
      </w:r>
      <w:r>
        <w:rPr>
          <w:rFonts w:hint="eastAsia" w:ascii="Times New Roman" w:hAnsi="宋体" w:eastAsia="宋体" w:cs="Times New Roman"/>
          <w:color w:val="000000"/>
          <w:sz w:val="24"/>
          <w:szCs w:val="24"/>
        </w:rPr>
        <w:t>标准</w:t>
      </w:r>
      <w:r>
        <w:rPr>
          <w:rFonts w:ascii="Times New Roman" w:hAnsi="宋体" w:eastAsia="宋体" w:cs="Times New Roman"/>
          <w:color w:val="000000"/>
          <w:sz w:val="24"/>
          <w:szCs w:val="24"/>
        </w:rPr>
        <w:t>由中国土木工程学会</w:t>
      </w:r>
      <w:r>
        <w:rPr>
          <w:rFonts w:hint="eastAsia" w:ascii="Times New Roman" w:hAnsi="宋体" w:eastAsia="宋体" w:cs="Times New Roman"/>
          <w:color w:val="000000"/>
          <w:sz w:val="24"/>
          <w:szCs w:val="24"/>
        </w:rPr>
        <w:t>学术与标准工作委员会</w:t>
      </w:r>
      <w:r>
        <w:rPr>
          <w:rFonts w:ascii="Times New Roman" w:hAnsi="宋体" w:eastAsia="宋体" w:cs="Times New Roman"/>
          <w:color w:val="000000"/>
          <w:sz w:val="24"/>
          <w:szCs w:val="24"/>
        </w:rPr>
        <w:t>负责管理，</w:t>
      </w:r>
      <w:r>
        <w:rPr>
          <w:rFonts w:hint="eastAsia" w:ascii="Times New Roman" w:hAnsi="宋体" w:eastAsia="宋体" w:cs="Times New Roman"/>
          <w:color w:val="000000"/>
          <w:sz w:val="24"/>
          <w:szCs w:val="24"/>
        </w:rPr>
        <w:t>由哲弗智能系统(上海)有限公司</w:t>
      </w:r>
      <w:r>
        <w:rPr>
          <w:rFonts w:ascii="Times New Roman" w:hAnsi="宋体" w:eastAsia="宋体" w:cs="Times New Roman"/>
          <w:color w:val="000000"/>
          <w:sz w:val="24"/>
          <w:szCs w:val="24"/>
        </w:rPr>
        <w:t>负责具体</w:t>
      </w:r>
      <w:r>
        <w:rPr>
          <w:rFonts w:hint="eastAsia" w:ascii="Times New Roman" w:hAnsi="宋体" w:eastAsia="宋体" w:cs="Times New Roman"/>
          <w:color w:val="000000"/>
          <w:sz w:val="24"/>
          <w:szCs w:val="24"/>
        </w:rPr>
        <w:t>技术</w:t>
      </w:r>
      <w:r>
        <w:rPr>
          <w:rFonts w:ascii="Times New Roman" w:hAnsi="宋体" w:eastAsia="宋体" w:cs="Times New Roman"/>
          <w:color w:val="000000"/>
          <w:sz w:val="24"/>
          <w:szCs w:val="24"/>
        </w:rPr>
        <w:t>内容的解释。执行过程中</w:t>
      </w:r>
      <w:r>
        <w:rPr>
          <w:rFonts w:hint="eastAsia" w:ascii="Times New Roman" w:hAnsi="宋体" w:eastAsia="宋体" w:cs="Times New Roman"/>
          <w:color w:val="000000"/>
          <w:sz w:val="24"/>
          <w:szCs w:val="24"/>
        </w:rPr>
        <w:t>如</w:t>
      </w:r>
      <w:r>
        <w:rPr>
          <w:rFonts w:ascii="Times New Roman" w:hAnsi="宋体" w:eastAsia="宋体" w:cs="Times New Roman"/>
          <w:color w:val="000000"/>
          <w:sz w:val="24"/>
          <w:szCs w:val="24"/>
        </w:rPr>
        <w:t>有</w:t>
      </w:r>
      <w:r>
        <w:rPr>
          <w:rFonts w:hint="eastAsia" w:ascii="Times New Roman" w:hAnsi="宋体" w:eastAsia="宋体" w:cs="Times New Roman"/>
          <w:color w:val="000000"/>
          <w:sz w:val="24"/>
          <w:szCs w:val="24"/>
        </w:rPr>
        <w:t>修改</w:t>
      </w:r>
      <w:r>
        <w:rPr>
          <w:rFonts w:ascii="Times New Roman" w:hAnsi="宋体" w:eastAsia="宋体" w:cs="Times New Roman"/>
          <w:color w:val="000000"/>
          <w:sz w:val="24"/>
          <w:szCs w:val="24"/>
        </w:rPr>
        <w:t>意见</w:t>
      </w:r>
      <w:r>
        <w:rPr>
          <w:rFonts w:hint="eastAsia" w:ascii="Times New Roman" w:hAnsi="宋体" w:eastAsia="宋体" w:cs="Times New Roman"/>
          <w:color w:val="000000"/>
          <w:sz w:val="24"/>
          <w:szCs w:val="24"/>
        </w:rPr>
        <w:t>或建议</w:t>
      </w:r>
      <w:r>
        <w:rPr>
          <w:rFonts w:ascii="Times New Roman" w:hAnsi="宋体" w:eastAsia="宋体" w:cs="Times New Roman"/>
          <w:color w:val="000000"/>
          <w:sz w:val="24"/>
          <w:szCs w:val="24"/>
        </w:rPr>
        <w:t>，请</w:t>
      </w:r>
      <w:r>
        <w:rPr>
          <w:rFonts w:hint="eastAsia" w:ascii="Times New Roman" w:hAnsi="宋体" w:eastAsia="宋体" w:cs="Times New Roman"/>
          <w:color w:val="000000"/>
          <w:sz w:val="24"/>
          <w:szCs w:val="24"/>
        </w:rPr>
        <w:t>寄送哲弗智能系统（上海）有限公司</w:t>
      </w:r>
      <w:r>
        <w:rPr>
          <w:rFonts w:ascii="Times New Roman" w:hAnsi="宋体" w:eastAsia="宋体" w:cs="Times New Roman"/>
          <w:color w:val="000000"/>
          <w:sz w:val="24"/>
          <w:szCs w:val="24"/>
        </w:rPr>
        <w:t>（地址：</w:t>
      </w:r>
      <w:r>
        <w:rPr>
          <w:rFonts w:hint="eastAsia" w:ascii="Times New Roman" w:hAnsi="宋体" w:eastAsia="宋体" w:cs="Times New Roman"/>
          <w:color w:val="000000"/>
          <w:sz w:val="24"/>
          <w:szCs w:val="24"/>
        </w:rPr>
        <w:t>上海市浦东新区创业路565号8幢T20-1号</w:t>
      </w:r>
      <w:r>
        <w:rPr>
          <w:rFonts w:ascii="Times New Roman" w:hAnsi="宋体" w:eastAsia="宋体" w:cs="Times New Roman"/>
          <w:color w:val="000000"/>
          <w:sz w:val="24"/>
          <w:szCs w:val="24"/>
        </w:rPr>
        <w:t>；邮政编码：200120</w:t>
      </w:r>
      <w:r>
        <w:rPr>
          <w:rFonts w:hint="eastAsia" w:ascii="Times New Roman" w:hAnsi="Times New Roman" w:eastAsia="宋体" w:cs="Times New Roman"/>
          <w:color w:val="000000"/>
          <w:sz w:val="24"/>
          <w:szCs w:val="24"/>
        </w:rPr>
        <w:t>；电子邮箱：zhanhai.liu@zephyr88.com</w:t>
      </w:r>
      <w:r>
        <w:rPr>
          <w:rFonts w:ascii="Times New Roman" w:hAnsi="宋体" w:eastAsia="宋体" w:cs="Times New Roman"/>
          <w:color w:val="000000"/>
          <w:sz w:val="24"/>
          <w:szCs w:val="24"/>
        </w:rPr>
        <w:t>）。</w:t>
      </w:r>
    </w:p>
    <w:p w14:paraId="513BB536">
      <w:pPr>
        <w:widowControl/>
        <w:spacing w:line="400" w:lineRule="exact"/>
        <w:ind w:firstLine="480" w:firstLineChars="150"/>
        <w:rPr>
          <w:rFonts w:ascii="Times New Roman" w:hAnsi="宋体" w:eastAsia="宋体" w:cs="Times New Roman"/>
          <w:color w:val="000000"/>
          <w:kern w:val="0"/>
          <w:sz w:val="24"/>
          <w:szCs w:val="24"/>
        </w:rPr>
      </w:pPr>
      <w:r>
        <w:rPr>
          <w:rFonts w:hint="eastAsia" w:ascii="宋体" w:hAnsi="宋体" w:eastAsia="宋体" w:cs="Times New Roman"/>
          <w:color w:val="000000"/>
          <w:spacing w:val="40"/>
          <w:kern w:val="0"/>
          <w:sz w:val="24"/>
          <w:szCs w:val="24"/>
        </w:rPr>
        <w:t>本</w:t>
      </w:r>
      <w:r>
        <w:rPr>
          <w:rFonts w:hint="eastAsia" w:ascii="Times New Roman" w:hAnsi="宋体" w:eastAsia="宋体" w:cs="Times New Roman"/>
          <w:color w:val="000000"/>
          <w:sz w:val="24"/>
          <w:szCs w:val="24"/>
        </w:rPr>
        <w:t>标准</w:t>
      </w:r>
      <w:r>
        <w:rPr>
          <w:rFonts w:hint="eastAsia" w:ascii="宋体" w:hAnsi="宋体" w:eastAsia="宋体" w:cs="Times New Roman"/>
          <w:color w:val="000000"/>
          <w:spacing w:val="40"/>
          <w:kern w:val="0"/>
          <w:sz w:val="24"/>
          <w:szCs w:val="24"/>
        </w:rPr>
        <w:t>主编单位</w:t>
      </w:r>
      <w:r>
        <w:rPr>
          <w:rFonts w:ascii="宋体" w:hAnsi="宋体" w:eastAsia="宋体" w:cs="Times New Roman"/>
          <w:color w:val="000000"/>
          <w:spacing w:val="40"/>
          <w:kern w:val="0"/>
          <w:sz w:val="24"/>
          <w:szCs w:val="24"/>
        </w:rPr>
        <w:t>：</w:t>
      </w:r>
      <w:r>
        <w:rPr>
          <w:rFonts w:hint="eastAsia" w:ascii="宋体" w:hAnsi="宋体" w:eastAsia="宋体" w:cs="Times New Roman"/>
          <w:sz w:val="24"/>
          <w:szCs w:val="24"/>
        </w:rPr>
        <w:t>哲弗智能系统（上海）有限公司</w:t>
      </w:r>
    </w:p>
    <w:p w14:paraId="5BBE9659">
      <w:pPr>
        <w:spacing w:line="400" w:lineRule="exact"/>
        <w:ind w:left="54" w:leftChars="26" w:firstLine="422" w:firstLineChars="132"/>
        <w:rPr>
          <w:rFonts w:hint="eastAsia" w:ascii="宋体" w:hAnsi="宋体" w:eastAsia="宋体" w:cs="Times New Roman"/>
          <w:sz w:val="24"/>
          <w:szCs w:val="24"/>
        </w:rPr>
      </w:pPr>
      <w:r>
        <w:rPr>
          <w:rFonts w:hint="eastAsia" w:ascii="宋体" w:hAnsi="宋体" w:eastAsia="宋体" w:cs="Times New Roman"/>
          <w:color w:val="000000"/>
          <w:spacing w:val="40"/>
          <w:kern w:val="0"/>
          <w:sz w:val="24"/>
          <w:szCs w:val="24"/>
        </w:rPr>
        <w:t>本</w:t>
      </w:r>
      <w:r>
        <w:rPr>
          <w:rFonts w:hint="eastAsia" w:ascii="Times New Roman" w:hAnsi="宋体" w:eastAsia="宋体" w:cs="Times New Roman"/>
          <w:color w:val="000000"/>
          <w:sz w:val="24"/>
          <w:szCs w:val="24"/>
        </w:rPr>
        <w:t>标准</w:t>
      </w:r>
      <w:r>
        <w:rPr>
          <w:rFonts w:ascii="宋体" w:hAnsi="宋体" w:eastAsia="宋体" w:cs="Times New Roman"/>
          <w:color w:val="000000"/>
          <w:spacing w:val="40"/>
          <w:kern w:val="0"/>
          <w:sz w:val="24"/>
          <w:szCs w:val="24"/>
        </w:rPr>
        <w:t>参编单位：</w:t>
      </w:r>
      <w:r>
        <w:rPr>
          <w:rFonts w:hint="eastAsia" w:ascii="宋体" w:hAnsi="宋体" w:eastAsia="宋体" w:cs="Times New Roman"/>
          <w:sz w:val="24"/>
          <w:szCs w:val="24"/>
        </w:rPr>
        <w:t>上海久事公共交通有限公司</w:t>
      </w:r>
    </w:p>
    <w:p w14:paraId="5617A842">
      <w:pPr>
        <w:spacing w:line="400" w:lineRule="exact"/>
        <w:ind w:firstLine="2551" w:firstLineChars="1063"/>
        <w:rPr>
          <w:rFonts w:hint="eastAsia" w:ascii="宋体" w:hAnsi="宋体" w:eastAsia="宋体" w:cs="Times New Roman"/>
          <w:sz w:val="24"/>
          <w:szCs w:val="24"/>
        </w:rPr>
      </w:pPr>
      <w:r>
        <w:rPr>
          <w:rFonts w:hint="eastAsia" w:ascii="宋体" w:hAnsi="宋体" w:eastAsia="宋体" w:cs="Times New Roman"/>
          <w:sz w:val="24"/>
          <w:szCs w:val="24"/>
        </w:rPr>
        <w:t>扬子江汽车集团有限公司</w:t>
      </w:r>
    </w:p>
    <w:p w14:paraId="45B1C31C">
      <w:pPr>
        <w:spacing w:line="400" w:lineRule="exact"/>
        <w:ind w:firstLine="2551" w:firstLineChars="1063"/>
        <w:rPr>
          <w:rFonts w:hint="eastAsia" w:ascii="宋体" w:hAnsi="宋体" w:eastAsia="宋体" w:cs="Times New Roman"/>
          <w:sz w:val="24"/>
          <w:szCs w:val="24"/>
        </w:rPr>
      </w:pPr>
      <w:r>
        <w:rPr>
          <w:rFonts w:hint="eastAsia" w:ascii="宋体" w:hAnsi="宋体" w:eastAsia="宋体" w:cs="Times New Roman"/>
          <w:sz w:val="24"/>
          <w:szCs w:val="24"/>
        </w:rPr>
        <w:t>常州市公共交通集团有限责任公司</w:t>
      </w:r>
    </w:p>
    <w:p w14:paraId="093E4E9C">
      <w:pPr>
        <w:spacing w:line="400" w:lineRule="exact"/>
        <w:ind w:firstLine="2551" w:firstLineChars="1063"/>
        <w:rPr>
          <w:rFonts w:hint="eastAsia" w:ascii="宋体" w:hAnsi="宋体" w:eastAsia="宋体" w:cs="Times New Roman"/>
          <w:sz w:val="24"/>
          <w:szCs w:val="24"/>
        </w:rPr>
      </w:pPr>
      <w:r>
        <w:rPr>
          <w:rFonts w:hint="eastAsia" w:ascii="宋体" w:hAnsi="宋体" w:eastAsia="宋体" w:cs="Times New Roman"/>
          <w:sz w:val="24"/>
          <w:szCs w:val="24"/>
        </w:rPr>
        <w:t>上海浦东新区公共交通有限公司</w:t>
      </w:r>
    </w:p>
    <w:p w14:paraId="625D8DDC">
      <w:pPr>
        <w:spacing w:line="400" w:lineRule="exact"/>
        <w:ind w:firstLine="2551" w:firstLineChars="1063"/>
        <w:rPr>
          <w:rFonts w:hint="eastAsia" w:ascii="宋体" w:hAnsi="宋体" w:eastAsia="宋体" w:cs="Times New Roman"/>
          <w:sz w:val="24"/>
          <w:szCs w:val="24"/>
        </w:rPr>
      </w:pPr>
      <w:r>
        <w:rPr>
          <w:rFonts w:hint="eastAsia" w:ascii="宋体" w:hAnsi="宋体" w:eastAsia="宋体" w:cs="Times New Roman"/>
          <w:sz w:val="24"/>
          <w:szCs w:val="24"/>
        </w:rPr>
        <w:t>中车长春轨道客车股份有限公司</w:t>
      </w:r>
    </w:p>
    <w:p w14:paraId="065C2139">
      <w:pPr>
        <w:spacing w:line="400" w:lineRule="exact"/>
        <w:ind w:firstLine="2551" w:firstLineChars="1063"/>
        <w:rPr>
          <w:rFonts w:hint="eastAsia" w:ascii="宋体" w:hAnsi="宋体" w:eastAsia="宋体" w:cs="Times New Roman"/>
          <w:sz w:val="24"/>
          <w:szCs w:val="24"/>
        </w:rPr>
      </w:pPr>
      <w:r>
        <w:rPr>
          <w:rFonts w:hint="eastAsia" w:ascii="宋体" w:hAnsi="宋体" w:eastAsia="宋体" w:cs="Times New Roman"/>
          <w:sz w:val="24"/>
          <w:szCs w:val="24"/>
        </w:rPr>
        <w:t>上海地铁维护保障有限公司车辆分公司</w:t>
      </w:r>
    </w:p>
    <w:p w14:paraId="3BEB0208">
      <w:pPr>
        <w:spacing w:line="400" w:lineRule="exact"/>
        <w:ind w:firstLine="2551" w:firstLineChars="1063"/>
        <w:rPr>
          <w:rFonts w:hint="eastAsia" w:ascii="宋体" w:hAnsi="宋体" w:eastAsia="宋体" w:cs="Times New Roman"/>
          <w:sz w:val="24"/>
          <w:szCs w:val="24"/>
        </w:rPr>
      </w:pPr>
      <w:r>
        <w:rPr>
          <w:rFonts w:hint="eastAsia" w:ascii="宋体" w:hAnsi="宋体" w:eastAsia="宋体" w:cs="Times New Roman"/>
          <w:sz w:val="24"/>
          <w:szCs w:val="24"/>
        </w:rPr>
        <w:t>武汉市公共交通集团有限责任公司</w:t>
      </w:r>
    </w:p>
    <w:p w14:paraId="20F7351B">
      <w:pPr>
        <w:widowControl/>
        <w:spacing w:line="400" w:lineRule="exact"/>
        <w:ind w:firstLine="424" w:firstLineChars="177"/>
        <w:rPr>
          <w:rFonts w:hint="eastAsia" w:ascii="Times New Roman" w:hAnsi="宋体" w:eastAsia="宋体" w:cs="Times New Roman"/>
          <w:color w:val="000000"/>
          <w:kern w:val="0"/>
          <w:sz w:val="24"/>
          <w:szCs w:val="24"/>
        </w:rPr>
      </w:pPr>
      <w:r>
        <w:rPr>
          <w:rFonts w:hint="eastAsia" w:ascii="宋体" w:hAnsi="宋体" w:eastAsia="宋体" w:cs="Times New Roman"/>
          <w:color w:val="000000"/>
          <w:kern w:val="0"/>
          <w:sz w:val="24"/>
          <w:szCs w:val="24"/>
        </w:rPr>
        <w:t>本</w:t>
      </w:r>
      <w:r>
        <w:rPr>
          <w:rFonts w:hint="eastAsia" w:ascii="Times New Roman" w:hAnsi="宋体" w:eastAsia="宋体" w:cs="Times New Roman"/>
          <w:color w:val="000000"/>
          <w:sz w:val="24"/>
          <w:szCs w:val="24"/>
        </w:rPr>
        <w:t>标准</w:t>
      </w:r>
      <w:r>
        <w:rPr>
          <w:rFonts w:ascii="宋体" w:hAnsi="宋体" w:eastAsia="宋体" w:cs="Times New Roman"/>
          <w:color w:val="000000"/>
          <w:kern w:val="0"/>
          <w:sz w:val="24"/>
          <w:szCs w:val="24"/>
        </w:rPr>
        <w:t>主要起草</w:t>
      </w:r>
      <w:r>
        <w:rPr>
          <w:rFonts w:hint="eastAsia" w:ascii="宋体" w:hAnsi="宋体" w:eastAsia="宋体" w:cs="Times New Roman"/>
          <w:color w:val="000000"/>
          <w:kern w:val="0"/>
          <w:sz w:val="24"/>
          <w:szCs w:val="24"/>
        </w:rPr>
        <w:t>人员</w:t>
      </w:r>
      <w:r>
        <w:rPr>
          <w:rFonts w:ascii="宋体" w:hAnsi="宋体" w:eastAsia="宋体" w:cs="Times New Roman"/>
          <w:color w:val="000000"/>
          <w:kern w:val="0"/>
          <w:sz w:val="24"/>
          <w:szCs w:val="24"/>
        </w:rPr>
        <w:t>：</w:t>
      </w:r>
      <w:r>
        <w:rPr>
          <w:rFonts w:hint="eastAsia" w:ascii="Times New Roman" w:hAnsi="宋体" w:eastAsia="宋体" w:cs="Times New Roman"/>
          <w:color w:val="000000"/>
          <w:kern w:val="0"/>
          <w:sz w:val="24"/>
          <w:szCs w:val="24"/>
        </w:rPr>
        <w:t>李  飞、王  亮、宣志樑、雷洪钧、陈建设、金  斌、朱向军、孙士杰、余佑民、王启发</w:t>
      </w:r>
    </w:p>
    <w:p w14:paraId="114BB161">
      <w:pPr>
        <w:widowControl/>
        <w:spacing w:line="400" w:lineRule="exact"/>
        <w:ind w:firstLine="424" w:firstLineChars="177"/>
        <w:rPr>
          <w:rFonts w:ascii="Times New Roman" w:hAnsi="宋体" w:eastAsia="宋体" w:cs="Times New Roman"/>
          <w:color w:val="000000"/>
          <w:kern w:val="0"/>
          <w:sz w:val="24"/>
          <w:szCs w:val="24"/>
        </w:rPr>
      </w:pPr>
      <w:r>
        <w:rPr>
          <w:rFonts w:hint="eastAsia" w:ascii="宋体" w:hAnsi="宋体" w:eastAsia="宋体" w:cs="Times New Roman"/>
          <w:color w:val="000000"/>
          <w:kern w:val="0"/>
          <w:sz w:val="24"/>
          <w:szCs w:val="24"/>
        </w:rPr>
        <w:t>本</w:t>
      </w:r>
      <w:r>
        <w:rPr>
          <w:rFonts w:hint="eastAsia" w:ascii="Times New Roman" w:hAnsi="宋体" w:eastAsia="宋体" w:cs="Times New Roman"/>
          <w:color w:val="000000"/>
          <w:sz w:val="24"/>
          <w:szCs w:val="24"/>
        </w:rPr>
        <w:t>标准</w:t>
      </w:r>
      <w:r>
        <w:rPr>
          <w:rFonts w:ascii="宋体" w:hAnsi="宋体" w:eastAsia="宋体" w:cs="Times New Roman"/>
          <w:color w:val="000000"/>
          <w:kern w:val="0"/>
          <w:sz w:val="24"/>
          <w:szCs w:val="24"/>
        </w:rPr>
        <w:t>主要审查</w:t>
      </w:r>
      <w:r>
        <w:rPr>
          <w:rFonts w:hint="eastAsia" w:ascii="宋体" w:hAnsi="宋体" w:eastAsia="宋体" w:cs="Times New Roman"/>
          <w:color w:val="000000"/>
          <w:kern w:val="0"/>
          <w:sz w:val="24"/>
          <w:szCs w:val="24"/>
        </w:rPr>
        <w:t>人员</w:t>
      </w:r>
      <w:r>
        <w:rPr>
          <w:rFonts w:ascii="宋体" w:hAnsi="宋体" w:eastAsia="宋体" w:cs="Times New Roman"/>
          <w:color w:val="000000"/>
          <w:kern w:val="0"/>
          <w:sz w:val="24"/>
          <w:szCs w:val="24"/>
        </w:rPr>
        <w:t>：</w:t>
      </w:r>
      <w:r>
        <w:rPr>
          <w:rFonts w:ascii="Times New Roman" w:hAnsi="宋体" w:eastAsia="宋体" w:cs="Times New Roman"/>
          <w:color w:val="000000"/>
          <w:kern w:val="0"/>
          <w:sz w:val="24"/>
          <w:szCs w:val="24"/>
        </w:rPr>
        <w:t>XXXX</w:t>
      </w:r>
      <w:r>
        <w:rPr>
          <w:rFonts w:ascii="Times New Roman" w:hAnsi="宋体" w:eastAsia="宋体" w:cs="Times New Roman"/>
          <w:color w:val="000000"/>
          <w:kern w:val="0"/>
          <w:sz w:val="24"/>
          <w:szCs w:val="24"/>
        </w:rPr>
        <w:br w:type="page"/>
      </w:r>
    </w:p>
    <w:p w14:paraId="7BDCECA8">
      <w:pPr>
        <w:spacing w:line="276" w:lineRule="auto"/>
        <w:jc w:val="center"/>
        <w:rPr>
          <w:rFonts w:ascii="宋体" w:hAnsi="宋体" w:eastAsia="宋体" w:cs="Times New Roman"/>
          <w:b/>
          <w:sz w:val="32"/>
          <w:szCs w:val="32"/>
        </w:rPr>
      </w:pPr>
      <w:r>
        <w:rPr>
          <w:rFonts w:hint="eastAsia" w:ascii="宋体" w:hAnsi="宋体" w:eastAsia="宋体" w:cs="Times New Roman"/>
          <w:b/>
          <w:sz w:val="32"/>
          <w:szCs w:val="32"/>
        </w:rPr>
        <w:t>目   录</w:t>
      </w:r>
    </w:p>
    <w:sdt>
      <w:sdtPr>
        <w:rPr>
          <w:rFonts w:ascii="宋体" w:hAnsi="宋体" w:eastAsia="宋体"/>
          <w:sz w:val="24"/>
          <w:szCs w:val="24"/>
          <w:lang w:val="zh-CN"/>
        </w:rPr>
        <w:id w:val="-1471432902"/>
        <w:docPartObj>
          <w:docPartGallery w:val="Table of Contents"/>
          <w:docPartUnique/>
        </w:docPartObj>
      </w:sdtPr>
      <w:sdtEndPr>
        <w:rPr>
          <w:rFonts w:ascii="宋体" w:hAnsi="宋体" w:eastAsia="宋体"/>
          <w:b/>
          <w:bCs/>
          <w:sz w:val="24"/>
          <w:szCs w:val="24"/>
          <w:lang w:val="zh-CN"/>
        </w:rPr>
      </w:sdtEndPr>
      <w:sdtContent>
        <w:p w14:paraId="534A3D14">
          <w:pPr>
            <w:spacing w:line="312" w:lineRule="auto"/>
            <w:rPr>
              <w:rFonts w:ascii="宋体" w:hAnsi="宋体" w:eastAsia="宋体" w:cstheme="minorBidi"/>
              <w:kern w:val="2"/>
              <w:sz w:val="24"/>
              <w:szCs w:val="24"/>
              <w:lang w:val="zh-CN" w:eastAsia="zh-CN" w:bidi="ar-SA"/>
            </w:rPr>
          </w:pPr>
          <w:bookmarkStart w:id="162" w:name="_GoBack"/>
          <w:bookmarkEnd w:id="162"/>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14:paraId="4B4A0893">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_Toc434 </w:instrText>
          </w:r>
          <w:r>
            <w:rPr>
              <w:rFonts w:ascii="宋体" w:hAnsi="宋体" w:eastAsia="宋体"/>
              <w:szCs w:val="24"/>
              <w:lang w:val="zh-CN"/>
            </w:rPr>
            <w:fldChar w:fldCharType="separate"/>
          </w:r>
          <w:r>
            <w:rPr>
              <w:rFonts w:ascii="宋体" w:hAnsi="宋体" w:eastAsia="宋体"/>
              <w:szCs w:val="24"/>
            </w:rPr>
            <w:t xml:space="preserve">1． </w:t>
          </w:r>
          <w:r>
            <w:rPr>
              <w:rFonts w:hint="eastAsia" w:ascii="宋体" w:hAnsi="宋体" w:eastAsia="宋体"/>
              <w:szCs w:val="24"/>
            </w:rPr>
            <w:t>范围</w:t>
          </w:r>
          <w:r>
            <w:tab/>
          </w:r>
          <w:r>
            <w:fldChar w:fldCharType="begin"/>
          </w:r>
          <w:r>
            <w:instrText xml:space="preserve"> PAGEREF _Toc434 \h </w:instrText>
          </w:r>
          <w:r>
            <w:fldChar w:fldCharType="separate"/>
          </w:r>
          <w:r>
            <w:t>4</w:t>
          </w:r>
          <w:r>
            <w:fldChar w:fldCharType="end"/>
          </w:r>
          <w:r>
            <w:rPr>
              <w:rFonts w:ascii="宋体" w:hAnsi="宋体" w:eastAsia="宋体"/>
              <w:szCs w:val="24"/>
              <w:lang w:val="zh-CN"/>
            </w:rPr>
            <w:fldChar w:fldCharType="end"/>
          </w:r>
        </w:p>
        <w:p w14:paraId="706CE709">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_Toc17273 </w:instrText>
          </w:r>
          <w:r>
            <w:rPr>
              <w:rFonts w:ascii="宋体" w:hAnsi="宋体" w:eastAsia="宋体"/>
              <w:szCs w:val="24"/>
              <w:lang w:val="zh-CN"/>
            </w:rPr>
            <w:fldChar w:fldCharType="separate"/>
          </w:r>
          <w:r>
            <w:rPr>
              <w:rFonts w:ascii="宋体" w:hAnsi="宋体" w:eastAsia="宋体"/>
              <w:szCs w:val="24"/>
            </w:rPr>
            <w:t xml:space="preserve">2． </w:t>
          </w:r>
          <w:r>
            <w:rPr>
              <w:rFonts w:hint="eastAsia" w:ascii="宋体" w:hAnsi="宋体" w:eastAsia="宋体"/>
              <w:szCs w:val="24"/>
            </w:rPr>
            <w:t>规范性引用文件</w:t>
          </w:r>
          <w:r>
            <w:tab/>
          </w:r>
          <w:r>
            <w:fldChar w:fldCharType="begin"/>
          </w:r>
          <w:r>
            <w:instrText xml:space="preserve"> PAGEREF _Toc17273 \h </w:instrText>
          </w:r>
          <w:r>
            <w:fldChar w:fldCharType="separate"/>
          </w:r>
          <w:r>
            <w:t>4</w:t>
          </w:r>
          <w:r>
            <w:fldChar w:fldCharType="end"/>
          </w:r>
          <w:r>
            <w:rPr>
              <w:rFonts w:ascii="宋体" w:hAnsi="宋体" w:eastAsia="宋体"/>
              <w:szCs w:val="24"/>
              <w:lang w:val="zh-CN"/>
            </w:rPr>
            <w:fldChar w:fldCharType="end"/>
          </w:r>
        </w:p>
        <w:p w14:paraId="36738EBA">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_Toc21675 </w:instrText>
          </w:r>
          <w:r>
            <w:rPr>
              <w:rFonts w:ascii="宋体" w:hAnsi="宋体" w:eastAsia="宋体"/>
              <w:szCs w:val="24"/>
              <w:lang w:val="zh-CN"/>
            </w:rPr>
            <w:fldChar w:fldCharType="separate"/>
          </w:r>
          <w:r>
            <w:rPr>
              <w:rFonts w:hint="eastAsia" w:ascii="宋体" w:hAnsi="宋体" w:eastAsia="宋体"/>
              <w:szCs w:val="24"/>
            </w:rPr>
            <w:t>3． 术语和定义</w:t>
          </w:r>
          <w:r>
            <w:tab/>
          </w:r>
          <w:r>
            <w:fldChar w:fldCharType="begin"/>
          </w:r>
          <w:r>
            <w:instrText xml:space="preserve"> PAGEREF _Toc21675 \h </w:instrText>
          </w:r>
          <w:r>
            <w:fldChar w:fldCharType="separate"/>
          </w:r>
          <w:r>
            <w:t>5</w:t>
          </w:r>
          <w:r>
            <w:fldChar w:fldCharType="end"/>
          </w:r>
          <w:r>
            <w:rPr>
              <w:rFonts w:ascii="宋体" w:hAnsi="宋体" w:eastAsia="宋体"/>
              <w:szCs w:val="24"/>
              <w:lang w:val="zh-CN"/>
            </w:rPr>
            <w:fldChar w:fldCharType="end"/>
          </w:r>
        </w:p>
        <w:p w14:paraId="7A671B87">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_Toc8368 </w:instrText>
          </w:r>
          <w:r>
            <w:rPr>
              <w:rFonts w:ascii="宋体" w:hAnsi="宋体" w:eastAsia="宋体"/>
              <w:szCs w:val="24"/>
              <w:lang w:val="zh-CN"/>
            </w:rPr>
            <w:fldChar w:fldCharType="separate"/>
          </w:r>
          <w:r>
            <w:rPr>
              <w:rFonts w:hint="default" w:ascii="宋体" w:hAnsi="宋体" w:eastAsia="宋体"/>
              <w:szCs w:val="24"/>
            </w:rPr>
            <w:t xml:space="preserve">4． </w:t>
          </w:r>
          <w:r>
            <w:rPr>
              <w:rFonts w:hint="eastAsia" w:ascii="宋体" w:hAnsi="宋体" w:eastAsia="宋体"/>
              <w:szCs w:val="24"/>
            </w:rPr>
            <w:t>缩略语</w:t>
          </w:r>
          <w:r>
            <w:tab/>
          </w:r>
          <w:r>
            <w:fldChar w:fldCharType="begin"/>
          </w:r>
          <w:r>
            <w:instrText xml:space="preserve"> PAGEREF _Toc8368 \h </w:instrText>
          </w:r>
          <w:r>
            <w:fldChar w:fldCharType="separate"/>
          </w:r>
          <w:r>
            <w:t>7</w:t>
          </w:r>
          <w:r>
            <w:fldChar w:fldCharType="end"/>
          </w:r>
          <w:r>
            <w:rPr>
              <w:rFonts w:ascii="宋体" w:hAnsi="宋体" w:eastAsia="宋体"/>
              <w:szCs w:val="24"/>
              <w:lang w:val="zh-CN"/>
            </w:rPr>
            <w:fldChar w:fldCharType="end"/>
          </w:r>
        </w:p>
        <w:p w14:paraId="712E86E1">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_Toc29761 </w:instrText>
          </w:r>
          <w:r>
            <w:rPr>
              <w:rFonts w:ascii="宋体" w:hAnsi="宋体" w:eastAsia="宋体"/>
              <w:szCs w:val="24"/>
              <w:lang w:val="zh-CN"/>
            </w:rPr>
            <w:fldChar w:fldCharType="separate"/>
          </w:r>
          <w:r>
            <w:rPr>
              <w:rFonts w:hint="default" w:ascii="宋体" w:hAnsi="宋体" w:eastAsia="宋体"/>
              <w:szCs w:val="24"/>
            </w:rPr>
            <w:t xml:space="preserve">5． </w:t>
          </w:r>
          <w:r>
            <w:rPr>
              <w:rFonts w:hint="eastAsia" w:ascii="宋体" w:hAnsi="宋体" w:eastAsia="宋体"/>
              <w:szCs w:val="24"/>
            </w:rPr>
            <w:t>系统构成</w:t>
          </w:r>
          <w:r>
            <w:tab/>
          </w:r>
          <w:r>
            <w:fldChar w:fldCharType="begin"/>
          </w:r>
          <w:r>
            <w:instrText xml:space="preserve"> PAGEREF _Toc29761 \h </w:instrText>
          </w:r>
          <w:r>
            <w:fldChar w:fldCharType="separate"/>
          </w:r>
          <w:r>
            <w:t>7</w:t>
          </w:r>
          <w:r>
            <w:fldChar w:fldCharType="end"/>
          </w:r>
          <w:r>
            <w:rPr>
              <w:rFonts w:ascii="宋体" w:hAnsi="宋体" w:eastAsia="宋体"/>
              <w:szCs w:val="24"/>
              <w:lang w:val="zh-CN"/>
            </w:rPr>
            <w:fldChar w:fldCharType="end"/>
          </w:r>
        </w:p>
        <w:p w14:paraId="7703F6DC">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_Toc28511 </w:instrText>
          </w:r>
          <w:r>
            <w:rPr>
              <w:rFonts w:ascii="宋体" w:hAnsi="宋体" w:eastAsia="宋体"/>
              <w:szCs w:val="24"/>
              <w:lang w:val="zh-CN"/>
            </w:rPr>
            <w:fldChar w:fldCharType="separate"/>
          </w:r>
          <w:r>
            <w:rPr>
              <w:rFonts w:hint="default" w:ascii="宋体" w:hAnsi="宋体" w:eastAsia="宋体"/>
              <w:szCs w:val="24"/>
            </w:rPr>
            <w:t xml:space="preserve">6． </w:t>
          </w:r>
          <w:r>
            <w:rPr>
              <w:rFonts w:hint="eastAsia" w:ascii="宋体" w:hAnsi="宋体" w:eastAsia="宋体"/>
              <w:szCs w:val="24"/>
            </w:rPr>
            <w:t>总体要求</w:t>
          </w:r>
          <w:r>
            <w:tab/>
          </w:r>
          <w:r>
            <w:fldChar w:fldCharType="begin"/>
          </w:r>
          <w:r>
            <w:instrText xml:space="preserve"> PAGEREF _Toc28511 \h </w:instrText>
          </w:r>
          <w:r>
            <w:fldChar w:fldCharType="separate"/>
          </w:r>
          <w:r>
            <w:t>14</w:t>
          </w:r>
          <w:r>
            <w:fldChar w:fldCharType="end"/>
          </w:r>
          <w:r>
            <w:rPr>
              <w:rFonts w:ascii="宋体" w:hAnsi="宋体" w:eastAsia="宋体"/>
              <w:szCs w:val="24"/>
              <w:lang w:val="zh-CN"/>
            </w:rPr>
            <w:fldChar w:fldCharType="end"/>
          </w:r>
        </w:p>
        <w:p w14:paraId="641A3194">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_Toc1665 </w:instrText>
          </w:r>
          <w:r>
            <w:rPr>
              <w:rFonts w:ascii="宋体" w:hAnsi="宋体" w:eastAsia="宋体"/>
              <w:szCs w:val="24"/>
              <w:lang w:val="zh-CN"/>
            </w:rPr>
            <w:fldChar w:fldCharType="separate"/>
          </w:r>
          <w:r>
            <w:rPr>
              <w:rFonts w:hint="default" w:ascii="宋体" w:hAnsi="宋体" w:eastAsia="宋体"/>
              <w:szCs w:val="24"/>
            </w:rPr>
            <w:t>7． 动力</w:t>
          </w:r>
          <w:r>
            <w:rPr>
              <w:rFonts w:hint="eastAsia" w:ascii="宋体" w:hAnsi="宋体" w:eastAsia="宋体"/>
              <w:szCs w:val="24"/>
            </w:rPr>
            <w:t>蓄电池系统布设</w:t>
          </w:r>
          <w:r>
            <w:tab/>
          </w:r>
          <w:r>
            <w:fldChar w:fldCharType="begin"/>
          </w:r>
          <w:r>
            <w:instrText xml:space="preserve"> PAGEREF _Toc1665 \h </w:instrText>
          </w:r>
          <w:r>
            <w:fldChar w:fldCharType="separate"/>
          </w:r>
          <w:r>
            <w:t>17</w:t>
          </w:r>
          <w:r>
            <w:fldChar w:fldCharType="end"/>
          </w:r>
          <w:r>
            <w:rPr>
              <w:rFonts w:ascii="宋体" w:hAnsi="宋体" w:eastAsia="宋体"/>
              <w:szCs w:val="24"/>
              <w:lang w:val="zh-CN"/>
            </w:rPr>
            <w:fldChar w:fldCharType="end"/>
          </w:r>
        </w:p>
        <w:p w14:paraId="0B568495">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_Toc10713 </w:instrText>
          </w:r>
          <w:r>
            <w:rPr>
              <w:rFonts w:ascii="宋体" w:hAnsi="宋体" w:eastAsia="宋体"/>
              <w:szCs w:val="24"/>
              <w:lang w:val="zh-CN"/>
            </w:rPr>
            <w:fldChar w:fldCharType="separate"/>
          </w:r>
          <w:r>
            <w:rPr>
              <w:rFonts w:hint="default" w:ascii="宋体" w:hAnsi="宋体" w:eastAsia="宋体"/>
              <w:szCs w:val="24"/>
            </w:rPr>
            <w:t xml:space="preserve">8． </w:t>
          </w:r>
          <w:r>
            <w:rPr>
              <w:rFonts w:hint="eastAsia" w:ascii="宋体" w:hAnsi="宋体" w:eastAsia="宋体"/>
              <w:szCs w:val="24"/>
            </w:rPr>
            <w:t>系统使用维护</w:t>
          </w:r>
          <w:r>
            <w:tab/>
          </w:r>
          <w:r>
            <w:fldChar w:fldCharType="begin"/>
          </w:r>
          <w:r>
            <w:instrText xml:space="preserve"> PAGEREF _Toc10713 \h </w:instrText>
          </w:r>
          <w:r>
            <w:fldChar w:fldCharType="separate"/>
          </w:r>
          <w:r>
            <w:t>18</w:t>
          </w:r>
          <w:r>
            <w:fldChar w:fldCharType="end"/>
          </w:r>
          <w:r>
            <w:rPr>
              <w:rFonts w:ascii="宋体" w:hAnsi="宋体" w:eastAsia="宋体"/>
              <w:szCs w:val="24"/>
              <w:lang w:val="zh-CN"/>
            </w:rPr>
            <w:fldChar w:fldCharType="end"/>
          </w:r>
        </w:p>
        <w:p w14:paraId="5A0033BC">
          <w:pPr>
            <w:pStyle w:val="14"/>
            <w:tabs>
              <w:tab w:val="right" w:leader="dot" w:pos="9127"/>
            </w:tabs>
          </w:pPr>
          <w:r>
            <w:rPr>
              <w:rFonts w:ascii="宋体" w:hAnsi="宋体" w:eastAsia="宋体"/>
              <w:szCs w:val="24"/>
              <w:lang w:val="zh-CN"/>
            </w:rPr>
            <w:fldChar w:fldCharType="begin"/>
          </w:r>
          <w:r>
            <w:rPr>
              <w:rFonts w:ascii="宋体" w:hAnsi="宋体" w:eastAsia="宋体"/>
              <w:szCs w:val="24"/>
              <w:lang w:val="zh-CN"/>
            </w:rPr>
            <w:instrText xml:space="preserve"> HYPERLINK \l _Toc16131 </w:instrText>
          </w:r>
          <w:r>
            <w:rPr>
              <w:rFonts w:ascii="宋体" w:hAnsi="宋体" w:eastAsia="宋体"/>
              <w:szCs w:val="24"/>
              <w:lang w:val="zh-CN"/>
            </w:rPr>
            <w:fldChar w:fldCharType="separate"/>
          </w:r>
          <w:r>
            <w:rPr>
              <w:rFonts w:hint="eastAsia" w:ascii="宋体" w:hAnsi="宋体" w:eastAsia="宋体"/>
              <w:szCs w:val="28"/>
            </w:rPr>
            <w:t>附 录 A</w:t>
          </w:r>
          <w:r>
            <w:rPr>
              <w:rFonts w:hint="eastAsia" w:ascii="宋体" w:hAnsi="宋体" w:eastAsia="宋体"/>
              <w:szCs w:val="24"/>
            </w:rPr>
            <w:t>（</w:t>
          </w:r>
          <w:r>
            <w:rPr>
              <w:rFonts w:hint="eastAsia" w:ascii="宋体" w:hAnsi="宋体" w:eastAsia="宋体"/>
              <w:szCs w:val="24"/>
              <w:lang w:val="en-US" w:eastAsia="zh-CN"/>
            </w:rPr>
            <w:t>规范</w:t>
          </w:r>
          <w:r>
            <w:rPr>
              <w:rFonts w:hint="eastAsia" w:ascii="宋体" w:hAnsi="宋体" w:eastAsia="宋体"/>
              <w:szCs w:val="24"/>
            </w:rPr>
            <w:t>性附录）蓄电池独立式液冷热管理系统</w:t>
          </w:r>
          <w:r>
            <w:tab/>
          </w:r>
          <w:r>
            <w:fldChar w:fldCharType="begin"/>
          </w:r>
          <w:r>
            <w:instrText xml:space="preserve"> PAGEREF _Toc16131 \h </w:instrText>
          </w:r>
          <w:r>
            <w:fldChar w:fldCharType="separate"/>
          </w:r>
          <w:r>
            <w:t>19</w:t>
          </w:r>
          <w:r>
            <w:fldChar w:fldCharType="end"/>
          </w:r>
          <w:r>
            <w:rPr>
              <w:rFonts w:ascii="宋体" w:hAnsi="宋体" w:eastAsia="宋体"/>
              <w:szCs w:val="24"/>
              <w:lang w:val="zh-CN"/>
            </w:rPr>
            <w:fldChar w:fldCharType="end"/>
          </w:r>
        </w:p>
        <w:p w14:paraId="731A6BBF">
          <w:pPr>
            <w:pStyle w:val="14"/>
            <w:tabs>
              <w:tab w:val="right" w:leader="dot" w:pos="9127"/>
            </w:tabs>
            <w:rPr>
              <w:rFonts w:hint="eastAsia" w:ascii="宋体" w:hAnsi="宋体" w:eastAsia="宋体"/>
              <w:szCs w:val="24"/>
            </w:rPr>
          </w:pPr>
          <w:r>
            <w:rPr>
              <w:rFonts w:hint="eastAsia" w:ascii="宋体" w:hAnsi="宋体" w:eastAsia="宋体"/>
              <w:szCs w:val="24"/>
              <w:lang w:val="zh-CN"/>
            </w:rPr>
            <w:fldChar w:fldCharType="begin"/>
          </w:r>
          <w:r>
            <w:rPr>
              <w:rFonts w:hint="eastAsia" w:ascii="宋体" w:hAnsi="宋体" w:eastAsia="宋体"/>
              <w:szCs w:val="24"/>
              <w:lang w:val="zh-CN"/>
            </w:rPr>
            <w:instrText xml:space="preserve"> HYPERLINK \l _Toc27212 </w:instrText>
          </w:r>
          <w:r>
            <w:rPr>
              <w:rFonts w:hint="eastAsia" w:ascii="宋体" w:hAnsi="宋体" w:eastAsia="宋体"/>
              <w:szCs w:val="24"/>
              <w:lang w:val="zh-CN"/>
            </w:rPr>
            <w:fldChar w:fldCharType="separate"/>
          </w:r>
          <w:r>
            <w:rPr>
              <w:rFonts w:hint="eastAsia" w:ascii="宋体" w:hAnsi="宋体" w:eastAsia="宋体"/>
              <w:szCs w:val="24"/>
            </w:rPr>
            <w:t xml:space="preserve">附 录 </w:t>
          </w:r>
          <w:r>
            <w:rPr>
              <w:rFonts w:hint="eastAsia" w:ascii="宋体" w:hAnsi="宋体" w:eastAsia="宋体"/>
              <w:szCs w:val="24"/>
              <w:lang w:val="en-US" w:eastAsia="zh-CN"/>
            </w:rPr>
            <w:t>B</w:t>
          </w:r>
          <w:r>
            <w:rPr>
              <w:rFonts w:hint="eastAsia" w:ascii="宋体" w:hAnsi="宋体" w:eastAsia="宋体"/>
              <w:szCs w:val="24"/>
            </w:rPr>
            <w:t>（</w:t>
          </w:r>
          <w:r>
            <w:rPr>
              <w:rFonts w:hint="eastAsia" w:ascii="宋体" w:hAnsi="宋体" w:eastAsia="宋体"/>
              <w:szCs w:val="24"/>
              <w:lang w:val="en-US" w:eastAsia="zh-CN"/>
            </w:rPr>
            <w:t>规范</w:t>
          </w:r>
          <w:r>
            <w:rPr>
              <w:rFonts w:hint="eastAsia" w:ascii="宋体" w:hAnsi="宋体" w:eastAsia="宋体"/>
              <w:szCs w:val="24"/>
            </w:rPr>
            <w:t>性附录）蓄电池火灾防控装置</w:t>
          </w:r>
          <w:r>
            <w:rPr>
              <w:rFonts w:hint="eastAsia" w:ascii="宋体" w:hAnsi="宋体" w:eastAsia="宋体"/>
              <w:szCs w:val="24"/>
            </w:rPr>
            <w:tab/>
          </w:r>
          <w:r>
            <w:rPr>
              <w:rFonts w:hint="eastAsia" w:ascii="宋体" w:hAnsi="宋体" w:eastAsia="宋体"/>
              <w:szCs w:val="24"/>
            </w:rPr>
            <w:fldChar w:fldCharType="begin"/>
          </w:r>
          <w:r>
            <w:rPr>
              <w:rFonts w:hint="eastAsia" w:ascii="宋体" w:hAnsi="宋体" w:eastAsia="宋体"/>
              <w:szCs w:val="24"/>
            </w:rPr>
            <w:instrText xml:space="preserve"> PAGEREF _Toc27212 \h </w:instrText>
          </w:r>
          <w:r>
            <w:rPr>
              <w:rFonts w:hint="eastAsia" w:ascii="宋体" w:hAnsi="宋体" w:eastAsia="宋体"/>
              <w:szCs w:val="24"/>
            </w:rPr>
            <w:fldChar w:fldCharType="separate"/>
          </w:r>
          <w:r>
            <w:rPr>
              <w:rFonts w:hint="eastAsia" w:ascii="宋体" w:hAnsi="宋体" w:eastAsia="宋体"/>
              <w:szCs w:val="24"/>
            </w:rPr>
            <w:t>22</w:t>
          </w:r>
          <w:r>
            <w:rPr>
              <w:rFonts w:hint="eastAsia" w:ascii="宋体" w:hAnsi="宋体" w:eastAsia="宋体"/>
              <w:szCs w:val="24"/>
            </w:rPr>
            <w:fldChar w:fldCharType="end"/>
          </w:r>
          <w:r>
            <w:rPr>
              <w:rFonts w:hint="eastAsia" w:ascii="宋体" w:hAnsi="宋体" w:eastAsia="宋体"/>
              <w:szCs w:val="24"/>
              <w:lang w:val="zh-CN"/>
            </w:rPr>
            <w:fldChar w:fldCharType="end"/>
          </w:r>
        </w:p>
        <w:p w14:paraId="3B825414">
          <w:pPr>
            <w:pStyle w:val="14"/>
            <w:tabs>
              <w:tab w:val="right" w:leader="dot" w:pos="9127"/>
            </w:tabs>
            <w:rPr>
              <w:rFonts w:hint="eastAsia" w:ascii="宋体" w:hAnsi="宋体" w:eastAsia="宋体"/>
              <w:szCs w:val="24"/>
            </w:rPr>
          </w:pPr>
        </w:p>
        <w:p w14:paraId="59155E26">
          <w:pPr>
            <w:pStyle w:val="14"/>
            <w:tabs>
              <w:tab w:val="left" w:pos="630"/>
              <w:tab w:val="right" w:leader="dot" w:pos="8921"/>
            </w:tabs>
            <w:spacing w:line="312" w:lineRule="auto"/>
            <w:rPr>
              <w:rFonts w:ascii="宋体" w:hAnsi="宋体" w:eastAsia="宋体"/>
              <w:sz w:val="24"/>
              <w:szCs w:val="24"/>
              <w:highlight w:val="lightGray"/>
            </w:rPr>
          </w:pPr>
          <w:r>
            <w:rPr>
              <w:rFonts w:ascii="宋体" w:hAnsi="宋体" w:eastAsia="宋体"/>
              <w:sz w:val="24"/>
              <w:szCs w:val="24"/>
              <w:lang w:val="zh-CN"/>
            </w:rPr>
            <w:fldChar w:fldCharType="end"/>
          </w:r>
        </w:p>
      </w:sdtContent>
    </w:sdt>
    <w:p w14:paraId="25812CF8">
      <w:pPr>
        <w:widowControl/>
        <w:spacing w:line="276" w:lineRule="auto"/>
        <w:jc w:val="left"/>
        <w:rPr>
          <w:rFonts w:ascii="宋体" w:hAnsi="宋体" w:eastAsia="宋体"/>
          <w:b/>
          <w:bCs/>
          <w:kern w:val="44"/>
          <w:sz w:val="24"/>
          <w:szCs w:val="24"/>
        </w:rPr>
      </w:pPr>
      <w:r>
        <w:rPr>
          <w:rFonts w:ascii="宋体" w:hAnsi="宋体" w:eastAsia="宋体"/>
          <w:sz w:val="24"/>
          <w:szCs w:val="24"/>
        </w:rPr>
        <w:br w:type="page"/>
      </w:r>
    </w:p>
    <w:p w14:paraId="1B6B53B6">
      <w:pPr>
        <w:pStyle w:val="5"/>
        <w:numPr>
          <w:ilvl w:val="0"/>
          <w:numId w:val="2"/>
        </w:numPr>
        <w:spacing w:line="360" w:lineRule="auto"/>
        <w:ind w:left="284" w:hanging="284"/>
        <w:jc w:val="left"/>
        <w:rPr>
          <w:rFonts w:ascii="宋体" w:hAnsi="宋体" w:eastAsia="宋体"/>
          <w:sz w:val="24"/>
          <w:szCs w:val="24"/>
        </w:rPr>
      </w:pPr>
      <w:bookmarkStart w:id="0" w:name="_Toc434"/>
      <w:r>
        <w:rPr>
          <w:rFonts w:hint="eastAsia" w:ascii="宋体" w:hAnsi="宋体" w:eastAsia="宋体"/>
          <w:sz w:val="24"/>
          <w:szCs w:val="24"/>
        </w:rPr>
        <w:t>范围</w:t>
      </w:r>
      <w:bookmarkEnd w:id="0"/>
    </w:p>
    <w:p w14:paraId="777A841F">
      <w:pPr>
        <w:spacing w:line="360" w:lineRule="auto"/>
        <w:ind w:firstLine="480" w:firstLineChars="200"/>
        <w:jc w:val="left"/>
      </w:pPr>
      <w:r>
        <w:rPr>
          <w:rFonts w:hint="eastAsia" w:ascii="宋体" w:hAnsi="宋体" w:eastAsia="宋体" w:cs="Times New Roman"/>
          <w:color w:val="000000" w:themeColor="text1"/>
          <w:sz w:val="24"/>
          <w:szCs w:val="24"/>
          <w14:textFill>
            <w14:solidFill>
              <w14:schemeClr w14:val="tx1"/>
            </w14:solidFill>
          </w14:textFill>
        </w:rPr>
        <w:t>本文件规定了城市客车用动力蓄电池</w:t>
      </w:r>
      <w:r>
        <w:rPr>
          <w:rFonts w:hint="eastAsia" w:ascii="宋体" w:hAnsi="宋体" w:eastAsia="宋体" w:cs="Times New Roman"/>
          <w:color w:val="000000" w:themeColor="text1"/>
          <w:sz w:val="24"/>
          <w:szCs w:val="24"/>
          <w:lang w:eastAsia="zh-CN"/>
          <w14:textFill>
            <w14:solidFill>
              <w14:schemeClr w14:val="tx1"/>
            </w14:solidFill>
          </w14:textFill>
        </w:rPr>
        <w:t>系统</w:t>
      </w:r>
      <w:r>
        <w:rPr>
          <w:rFonts w:hint="eastAsia" w:ascii="宋体" w:hAnsi="宋体" w:eastAsia="宋体" w:cs="Times New Roman"/>
          <w:color w:val="000000" w:themeColor="text1"/>
          <w:sz w:val="24"/>
          <w:szCs w:val="24"/>
          <w14:textFill>
            <w14:solidFill>
              <w14:schemeClr w14:val="tx1"/>
            </w14:solidFill>
          </w14:textFill>
        </w:rPr>
        <w:t>的安全要求、系统构成、电池管理系统、系统布设、系统使用维护等方面的技术要求。本文件适用于城市客车用的动力蓄电池</w:t>
      </w:r>
      <w:r>
        <w:rPr>
          <w:rFonts w:hint="eastAsia" w:ascii="宋体" w:hAnsi="宋体" w:eastAsia="宋体" w:cs="Times New Roman"/>
          <w:color w:val="000000" w:themeColor="text1"/>
          <w:sz w:val="24"/>
          <w:szCs w:val="24"/>
          <w:lang w:eastAsia="zh-CN"/>
          <w14:textFill>
            <w14:solidFill>
              <w14:schemeClr w14:val="tx1"/>
            </w14:solidFill>
          </w14:textFill>
        </w:rPr>
        <w:t>系统安全</w:t>
      </w:r>
      <w:r>
        <w:rPr>
          <w:rFonts w:hint="eastAsia" w:ascii="宋体" w:hAnsi="宋体" w:eastAsia="宋体" w:cs="Times New Roman"/>
          <w:color w:val="000000" w:themeColor="text1"/>
          <w:sz w:val="24"/>
          <w:szCs w:val="24"/>
          <w14:textFill>
            <w14:solidFill>
              <w14:schemeClr w14:val="tx1"/>
            </w14:solidFill>
          </w14:textFill>
        </w:rPr>
        <w:t>，其他类型动力蓄电池</w:t>
      </w:r>
      <w:r>
        <w:rPr>
          <w:rFonts w:hint="eastAsia" w:ascii="宋体" w:hAnsi="宋体" w:eastAsia="宋体" w:cs="Times New Roman"/>
          <w:color w:val="000000" w:themeColor="text1"/>
          <w:sz w:val="24"/>
          <w:szCs w:val="24"/>
          <w:lang w:eastAsia="zh-CN"/>
          <w14:textFill>
            <w14:solidFill>
              <w14:schemeClr w14:val="tx1"/>
            </w14:solidFill>
          </w14:textFill>
        </w:rPr>
        <w:t>系统安全</w:t>
      </w:r>
      <w:r>
        <w:rPr>
          <w:rFonts w:hint="eastAsia" w:ascii="宋体" w:hAnsi="宋体" w:eastAsia="宋体" w:cs="Times New Roman"/>
          <w:color w:val="000000" w:themeColor="text1"/>
          <w:sz w:val="24"/>
          <w:szCs w:val="24"/>
          <w14:textFill>
            <w14:solidFill>
              <w14:schemeClr w14:val="tx1"/>
            </w14:solidFill>
          </w14:textFill>
        </w:rPr>
        <w:t>可参照执行。</w:t>
      </w:r>
    </w:p>
    <w:p w14:paraId="7CC5B642">
      <w:pPr>
        <w:pStyle w:val="5"/>
        <w:numPr>
          <w:ilvl w:val="0"/>
          <w:numId w:val="2"/>
        </w:numPr>
        <w:spacing w:line="360" w:lineRule="auto"/>
        <w:ind w:left="284" w:hanging="284"/>
        <w:jc w:val="left"/>
        <w:rPr>
          <w:rFonts w:ascii="宋体" w:hAnsi="宋体" w:eastAsia="宋体"/>
          <w:sz w:val="24"/>
          <w:szCs w:val="24"/>
        </w:rPr>
      </w:pPr>
      <w:bookmarkStart w:id="1" w:name="_Toc17273"/>
      <w:r>
        <w:rPr>
          <w:rFonts w:hint="eastAsia" w:ascii="宋体" w:hAnsi="宋体" w:eastAsia="宋体"/>
          <w:sz w:val="24"/>
          <w:szCs w:val="24"/>
        </w:rPr>
        <w:t>规范性引用文件</w:t>
      </w:r>
      <w:bookmarkEnd w:id="1"/>
    </w:p>
    <w:p w14:paraId="0CFD0F6D">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86C0B6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 7258 机动车运行安全技术条件</w:t>
      </w:r>
    </w:p>
    <w:p w14:paraId="7E90415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 25972-2010气体灭火系统及部件</w:t>
      </w:r>
    </w:p>
    <w:p w14:paraId="50EC03C4">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 38031-2020 电动汽车用动力蓄电池安全要求</w:t>
      </w:r>
    </w:p>
    <w:p w14:paraId="69FA83E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 38032-2020 电动客车安全要求</w:t>
      </w:r>
    </w:p>
    <w:p w14:paraId="764163F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16935.1 低压系统内设备的绝缘配合 第1部分：原理、要求和试验</w:t>
      </w:r>
    </w:p>
    <w:p w14:paraId="4F30141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18655-2018 车辆、船和内燃机 无线电骚扰特性用于保护车载接收机的限值和测量方法</w:t>
      </w:r>
    </w:p>
    <w:p w14:paraId="5AB2EA8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19951-2019 道路车辆 电气/电子部件对静电放电抗扰性的试验方法</w:t>
      </w:r>
    </w:p>
    <w:p w14:paraId="25224F9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GB/T 19596-2017 电动汽车术语 </w:t>
      </w:r>
    </w:p>
    <w:p w14:paraId="630FB589">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28046.1-2011 道路车辆 电气及电子设备的环境条件和试验 第1部分：一般规定</w:t>
      </w:r>
    </w:p>
    <w:p w14:paraId="5809C7F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28046.2-2019 道路车辆 电气及电子设备的环境条件和试验 第2部分：电气负荷</w:t>
      </w:r>
    </w:p>
    <w:p w14:paraId="760869A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28046.4-2011 道路车辆 电气及电子设备的环境条件和试验 第4部分：气候负荷</w:t>
      </w:r>
    </w:p>
    <w:p w14:paraId="414D5B60">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33014.2-2016 道路车辆 电气/电子部件对窄带辐射电磁能的抗扰性试验方法 第2部分： 电波暗室法</w:t>
      </w:r>
    </w:p>
    <w:p w14:paraId="44495518">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33014.4-2016 道路车辆 电气/电子部件对窄带辐射电磁能的抗扰性试验方法 第4部分：大电流注入（BCI）法</w:t>
      </w:r>
    </w:p>
    <w:p w14:paraId="5F9375F5">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GB/T 17619-1998 机动车电子电器组件的电磁辐射抗扰性限值和测量方法</w:t>
      </w:r>
    </w:p>
    <w:p w14:paraId="32072F0E">
      <w:pPr>
        <w:autoSpaceDE w:val="0"/>
        <w:autoSpaceDN w:val="0"/>
        <w:adjustRightIn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rPr>
        <w:t>GB/T 21437.2-20</w:t>
      </w:r>
      <w:r>
        <w:rPr>
          <w:rFonts w:hint="eastAsia" w:ascii="宋体" w:hAnsi="宋体" w:eastAsia="宋体" w:cs="宋体"/>
          <w:kern w:val="0"/>
          <w:sz w:val="24"/>
          <w:szCs w:val="24"/>
          <w:lang w:val="en-US" w:eastAsia="zh-CN"/>
        </w:rPr>
        <w:t>21 道路车辆 由传导和耦合引起的电骚扰 第2部分：沿电源线的电瞬态传导</w:t>
      </w:r>
    </w:p>
    <w:p w14:paraId="5465AC9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GB/T 21437.1-2021 道路车辆 电气/电子部件对传导和耦合引起的电骚扰试验方法 第1部分:定义和一般规定</w:t>
      </w:r>
    </w:p>
    <w:p w14:paraId="7CD889F1">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GB/T 21437.3-2021 道路车辆 电气/电子部件对传导和耦合引起的电骚扰试验方法 第3部分:对耦合到非电源线电瞬态的抗扰性</w:t>
      </w:r>
    </w:p>
    <w:p w14:paraId="5310977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GB/T 37740-2019信息技术 云计算 云平台间应用和数据迁移指南</w:t>
      </w:r>
    </w:p>
    <w:p w14:paraId="72D5392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rPr>
        <w:t>JT/T 1461-2023</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en-US"/>
        </w:rPr>
        <w:t>客车锂离子动力蓄电池箱火灾防控装置配置要求</w:t>
      </w:r>
    </w:p>
    <w:p w14:paraId="74C2A1E3">
      <w:pPr>
        <w:pStyle w:val="5"/>
        <w:numPr>
          <w:ilvl w:val="0"/>
          <w:numId w:val="2"/>
        </w:numPr>
        <w:spacing w:line="360" w:lineRule="auto"/>
        <w:ind w:left="284" w:hanging="284"/>
        <w:jc w:val="left"/>
        <w:rPr>
          <w:rFonts w:ascii="宋体" w:hAnsi="宋体" w:eastAsia="宋体"/>
          <w:sz w:val="24"/>
          <w:szCs w:val="24"/>
        </w:rPr>
      </w:pPr>
      <w:bookmarkStart w:id="2" w:name="_Toc143898833"/>
      <w:bookmarkEnd w:id="2"/>
      <w:bookmarkStart w:id="3" w:name="_Toc143898828"/>
      <w:bookmarkEnd w:id="3"/>
      <w:bookmarkStart w:id="4" w:name="_Toc143898822"/>
      <w:bookmarkEnd w:id="4"/>
      <w:bookmarkStart w:id="5" w:name="_Toc144112749"/>
      <w:bookmarkEnd w:id="5"/>
      <w:bookmarkStart w:id="6" w:name="_Toc144112757"/>
      <w:bookmarkEnd w:id="6"/>
      <w:bookmarkStart w:id="7" w:name="_Toc143898826"/>
      <w:bookmarkEnd w:id="7"/>
      <w:bookmarkStart w:id="8" w:name="_Toc143898829"/>
      <w:bookmarkEnd w:id="8"/>
      <w:bookmarkStart w:id="9" w:name="_Toc144112751"/>
      <w:bookmarkEnd w:id="9"/>
      <w:bookmarkStart w:id="10" w:name="_Toc143898827"/>
      <w:bookmarkEnd w:id="10"/>
      <w:bookmarkStart w:id="11" w:name="_Toc143898831"/>
      <w:bookmarkEnd w:id="11"/>
      <w:bookmarkStart w:id="12" w:name="_Toc143898821"/>
      <w:bookmarkEnd w:id="12"/>
      <w:bookmarkStart w:id="13" w:name="_Toc143898832"/>
      <w:bookmarkEnd w:id="13"/>
      <w:bookmarkStart w:id="14" w:name="_Toc143898823"/>
      <w:bookmarkEnd w:id="14"/>
      <w:bookmarkStart w:id="15" w:name="_Toc144112745"/>
      <w:bookmarkEnd w:id="15"/>
      <w:bookmarkStart w:id="16" w:name="_Toc144112755"/>
      <w:bookmarkEnd w:id="16"/>
      <w:bookmarkStart w:id="17" w:name="_Toc144112752"/>
      <w:bookmarkEnd w:id="17"/>
      <w:bookmarkStart w:id="18" w:name="_Toc144112753"/>
      <w:bookmarkEnd w:id="18"/>
      <w:bookmarkStart w:id="19" w:name="_Toc144112748"/>
      <w:bookmarkEnd w:id="19"/>
      <w:bookmarkStart w:id="20" w:name="_Toc144112756"/>
      <w:bookmarkEnd w:id="20"/>
      <w:bookmarkStart w:id="21" w:name="_Toc143898830"/>
      <w:bookmarkEnd w:id="21"/>
      <w:bookmarkStart w:id="22" w:name="_Toc143898825"/>
      <w:bookmarkEnd w:id="22"/>
      <w:bookmarkStart w:id="23" w:name="_Toc143898824"/>
      <w:bookmarkEnd w:id="23"/>
      <w:bookmarkStart w:id="24" w:name="_Toc144112750"/>
      <w:bookmarkEnd w:id="24"/>
      <w:bookmarkStart w:id="25" w:name="_Toc144112754"/>
      <w:bookmarkEnd w:id="25"/>
      <w:bookmarkStart w:id="26" w:name="_Toc144112747"/>
      <w:bookmarkEnd w:id="26"/>
      <w:bookmarkStart w:id="27" w:name="_Toc144112746"/>
      <w:bookmarkEnd w:id="27"/>
      <w:bookmarkStart w:id="28" w:name="_Toc21675"/>
      <w:r>
        <w:rPr>
          <w:rFonts w:hint="eastAsia" w:ascii="宋体" w:hAnsi="宋体" w:eastAsia="宋体"/>
          <w:sz w:val="24"/>
          <w:szCs w:val="24"/>
        </w:rPr>
        <w:t>术语和定义</w:t>
      </w:r>
      <w:bookmarkEnd w:id="28"/>
      <w:r>
        <w:rPr>
          <w:rFonts w:hint="eastAsia" w:ascii="宋体" w:hAnsi="宋体" w:eastAsia="宋体"/>
          <w:sz w:val="24"/>
          <w:szCs w:val="24"/>
        </w:rPr>
        <w:t xml:space="preserve"> </w:t>
      </w:r>
    </w:p>
    <w:p w14:paraId="3B61193E">
      <w:pPr>
        <w:spacing w:line="360" w:lineRule="auto"/>
        <w:ind w:firstLine="480" w:firstLineChars="200"/>
      </w:pPr>
      <w:r>
        <w:rPr>
          <w:rFonts w:ascii="宋体" w:hAnsi="宋体" w:eastAsia="宋体" w:cs="Arial"/>
          <w:kern w:val="0"/>
          <w:sz w:val="24"/>
          <w:szCs w:val="24"/>
        </w:rPr>
        <w:t>GB/T 19596</w:t>
      </w:r>
      <w:r>
        <w:rPr>
          <w:rFonts w:hint="eastAsia" w:ascii="宋体" w:hAnsi="宋体" w:eastAsia="宋体" w:cs="Arial"/>
          <w:kern w:val="0"/>
          <w:sz w:val="24"/>
          <w:szCs w:val="24"/>
        </w:rPr>
        <w:t>、</w:t>
      </w:r>
      <w:r>
        <w:rPr>
          <w:rFonts w:ascii="宋体" w:hAnsi="宋体" w:eastAsia="宋体" w:cs="Arial"/>
          <w:kern w:val="0"/>
          <w:sz w:val="24"/>
          <w:szCs w:val="24"/>
        </w:rPr>
        <w:t>GB 38031-2020</w:t>
      </w:r>
      <w:r>
        <w:rPr>
          <w:rFonts w:hint="eastAsia" w:ascii="宋体" w:hAnsi="宋体" w:eastAsia="宋体" w:cs="Arial"/>
          <w:kern w:val="0"/>
          <w:sz w:val="24"/>
          <w:szCs w:val="24"/>
        </w:rPr>
        <w:t>、</w:t>
      </w:r>
      <w:r>
        <w:rPr>
          <w:rFonts w:ascii="宋体" w:hAnsi="宋体" w:eastAsia="宋体" w:cs="Arial"/>
          <w:kern w:val="0"/>
          <w:sz w:val="24"/>
          <w:szCs w:val="24"/>
        </w:rPr>
        <w:t>GB/T 37740-2019、GB 7258</w:t>
      </w:r>
      <w:r>
        <w:rPr>
          <w:rFonts w:hint="eastAsia" w:ascii="宋体" w:hAnsi="宋体" w:eastAsia="宋体" w:cs="Arial"/>
          <w:kern w:val="0"/>
          <w:sz w:val="24"/>
          <w:szCs w:val="24"/>
        </w:rPr>
        <w:t>界定的以及下列术语和定语适用于本标准。</w:t>
      </w:r>
    </w:p>
    <w:p w14:paraId="157BEE87">
      <w:pPr>
        <w:pStyle w:val="27"/>
        <w:numPr>
          <w:ilvl w:val="0"/>
          <w:numId w:val="3"/>
        </w:numPr>
        <w:spacing w:line="360" w:lineRule="auto"/>
        <w:rPr>
          <w:rFonts w:ascii="宋体" w:hAnsi="宋体" w:eastAsia="宋体" w:cs="Arial"/>
          <w:b/>
          <w:bCs/>
          <w:color w:val="auto"/>
        </w:rPr>
      </w:pPr>
      <w:bookmarkStart w:id="29" w:name="_Toc151110976"/>
      <w:bookmarkStart w:id="30" w:name="_Toc32487"/>
      <w:r>
        <w:rPr>
          <w:rFonts w:hint="eastAsia" w:ascii="宋体" w:hAnsi="宋体" w:eastAsia="宋体"/>
          <w:b/>
          <w:bCs/>
          <w:color w:val="auto"/>
        </w:rPr>
        <w:t>单体蓄电池</w:t>
      </w:r>
      <w:r>
        <w:rPr>
          <w:rFonts w:ascii="宋体" w:hAnsi="宋体" w:eastAsia="宋体"/>
          <w:b/>
          <w:bCs/>
          <w:color w:val="auto"/>
        </w:rPr>
        <w:t xml:space="preserve"> secondary cell</w:t>
      </w:r>
      <w:bookmarkEnd w:id="29"/>
      <w:bookmarkEnd w:id="30"/>
    </w:p>
    <w:p w14:paraId="594D05CF">
      <w:pPr>
        <w:pStyle w:val="27"/>
        <w:spacing w:line="360" w:lineRule="auto"/>
        <w:ind w:firstLine="480" w:firstLineChars="200"/>
        <w:rPr>
          <w:rFonts w:ascii="宋体" w:hAnsi="宋体" w:eastAsia="宋体" w:cs="Arial"/>
          <w:color w:val="auto"/>
        </w:rPr>
      </w:pPr>
      <w:r>
        <w:rPr>
          <w:rFonts w:hint="eastAsia" w:ascii="宋体" w:hAnsi="宋体" w:eastAsia="宋体" w:cs="Arial"/>
          <w:color w:val="auto"/>
        </w:rPr>
        <w:t>将化学能与电能进行相互转换的基本单元装置。通常包括电极、隔膜、电解质、外壳和极耳，并被设计成可充电，也称作电芯。</w:t>
      </w:r>
    </w:p>
    <w:p w14:paraId="72E57F83">
      <w:pPr>
        <w:pStyle w:val="27"/>
        <w:numPr>
          <w:ilvl w:val="0"/>
          <w:numId w:val="3"/>
        </w:numPr>
        <w:spacing w:line="360" w:lineRule="auto"/>
        <w:rPr>
          <w:rFonts w:hint="eastAsia" w:ascii="宋体" w:hAnsi="宋体" w:eastAsia="宋体"/>
          <w:b/>
          <w:bCs/>
          <w:color w:val="auto"/>
        </w:rPr>
      </w:pPr>
      <w:bookmarkStart w:id="31" w:name="_Toc151110977"/>
      <w:bookmarkStart w:id="32" w:name="_Toc483"/>
      <w:r>
        <w:rPr>
          <w:rFonts w:hint="eastAsia" w:ascii="宋体" w:hAnsi="宋体" w:eastAsia="宋体"/>
          <w:b/>
          <w:bCs/>
          <w:color w:val="auto"/>
        </w:rPr>
        <w:t>蓄电池模块 battery module</w:t>
      </w:r>
      <w:bookmarkEnd w:id="31"/>
      <w:bookmarkEnd w:id="32"/>
    </w:p>
    <w:p w14:paraId="4DE8FE06">
      <w:pPr>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将一个以上单体蓄电池按照串联、并联或串并联方式组合</w:t>
      </w:r>
      <w:r>
        <w:rPr>
          <w:rFonts w:ascii="宋体" w:hAnsi="宋体" w:eastAsia="宋体" w:cs="Arial"/>
          <w:kern w:val="0"/>
          <w:sz w:val="24"/>
          <w:szCs w:val="24"/>
        </w:rPr>
        <w:t>,</w:t>
      </w:r>
      <w:r>
        <w:rPr>
          <w:rFonts w:hint="eastAsia" w:ascii="宋体" w:hAnsi="宋体" w:eastAsia="宋体" w:cs="Arial"/>
          <w:kern w:val="0"/>
          <w:sz w:val="24"/>
          <w:szCs w:val="24"/>
        </w:rPr>
        <w:t>并作为电源使用的组合体。也称作蓄电池组。</w:t>
      </w:r>
    </w:p>
    <w:p w14:paraId="04E1FEC4">
      <w:pPr>
        <w:pStyle w:val="27"/>
        <w:numPr>
          <w:ilvl w:val="0"/>
          <w:numId w:val="3"/>
        </w:numPr>
        <w:spacing w:line="360" w:lineRule="auto"/>
        <w:rPr>
          <w:rFonts w:hint="eastAsia" w:ascii="宋体" w:hAnsi="宋体" w:eastAsia="宋体"/>
          <w:b/>
          <w:bCs/>
          <w:color w:val="auto"/>
        </w:rPr>
      </w:pPr>
      <w:bookmarkStart w:id="33" w:name="_Toc151110978"/>
      <w:bookmarkStart w:id="34" w:name="_Toc13991"/>
      <w:r>
        <w:rPr>
          <w:rFonts w:hint="eastAsia" w:ascii="宋体" w:hAnsi="宋体" w:eastAsia="宋体"/>
          <w:b/>
          <w:bCs/>
          <w:color w:val="auto"/>
        </w:rPr>
        <w:t>蓄电池包 battery pack</w:t>
      </w:r>
      <w:bookmarkEnd w:id="33"/>
      <w:bookmarkEnd w:id="34"/>
    </w:p>
    <w:p w14:paraId="61B6AE34">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通常包括蓄电池组、蓄电池管理系统、蓄电池箱及相应附件(冷却部件、连接线缆等),具有从外部获得电能并可对外输出电能的单元。</w:t>
      </w:r>
    </w:p>
    <w:p w14:paraId="66638E02">
      <w:pPr>
        <w:pStyle w:val="27"/>
        <w:numPr>
          <w:ilvl w:val="0"/>
          <w:numId w:val="3"/>
        </w:numPr>
        <w:spacing w:line="360" w:lineRule="auto"/>
        <w:rPr>
          <w:rFonts w:hint="eastAsia" w:ascii="宋体" w:hAnsi="宋体" w:eastAsia="宋体"/>
          <w:b/>
          <w:bCs/>
          <w:color w:val="auto"/>
        </w:rPr>
      </w:pPr>
      <w:bookmarkStart w:id="35" w:name="_Toc9505"/>
      <w:bookmarkStart w:id="36" w:name="_Toc151110979"/>
      <w:r>
        <w:rPr>
          <w:rFonts w:hint="eastAsia" w:ascii="宋体" w:hAnsi="宋体" w:eastAsia="宋体"/>
          <w:b/>
          <w:bCs/>
          <w:color w:val="auto"/>
        </w:rPr>
        <w:t>蓄电池系统 battery system</w:t>
      </w:r>
      <w:bookmarkEnd w:id="35"/>
      <w:bookmarkEnd w:id="36"/>
    </w:p>
    <w:p w14:paraId="783D431E">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一个或一个以上蓄电池包及相应附件（管理系统、高压电路、低压电路、热管理设备以及机械总成等）构成的能量存储装置。</w:t>
      </w:r>
    </w:p>
    <w:p w14:paraId="788FFD3D">
      <w:pPr>
        <w:pStyle w:val="27"/>
        <w:numPr>
          <w:ilvl w:val="0"/>
          <w:numId w:val="3"/>
        </w:numPr>
        <w:spacing w:line="360" w:lineRule="auto"/>
        <w:rPr>
          <w:rFonts w:hint="eastAsia" w:ascii="宋体" w:hAnsi="宋体" w:eastAsia="宋体"/>
          <w:b/>
          <w:bCs/>
          <w:color w:val="auto"/>
        </w:rPr>
      </w:pPr>
      <w:bookmarkStart w:id="37" w:name="_Toc8594"/>
      <w:bookmarkStart w:id="38" w:name="_Toc151110980"/>
      <w:r>
        <w:rPr>
          <w:rFonts w:hint="eastAsia" w:ascii="宋体" w:hAnsi="宋体" w:eastAsia="宋体"/>
          <w:b/>
          <w:bCs/>
          <w:color w:val="auto"/>
        </w:rPr>
        <w:t>动力蓄电池 traction battery</w:t>
      </w:r>
      <w:bookmarkEnd w:id="37"/>
      <w:bookmarkEnd w:id="38"/>
    </w:p>
    <w:p w14:paraId="52F32595">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为电动汽车动力系统提供能量的蓄电池。</w:t>
      </w:r>
    </w:p>
    <w:p w14:paraId="3D4D3A42">
      <w:pPr>
        <w:pStyle w:val="27"/>
        <w:numPr>
          <w:ilvl w:val="0"/>
          <w:numId w:val="3"/>
        </w:numPr>
        <w:spacing w:line="360" w:lineRule="auto"/>
        <w:rPr>
          <w:rFonts w:hint="eastAsia" w:ascii="宋体" w:hAnsi="宋体" w:eastAsia="宋体"/>
          <w:b/>
          <w:bCs/>
          <w:color w:val="auto"/>
        </w:rPr>
      </w:pPr>
      <w:bookmarkStart w:id="39" w:name="_Toc18963"/>
      <w:bookmarkStart w:id="40" w:name="_Toc151110981"/>
      <w:r>
        <w:rPr>
          <w:rFonts w:hint="eastAsia" w:ascii="宋体" w:hAnsi="宋体" w:eastAsia="宋体"/>
          <w:b/>
          <w:bCs/>
          <w:color w:val="auto"/>
        </w:rPr>
        <w:t>热失控 thermal runaway</w:t>
      </w:r>
      <w:bookmarkEnd w:id="39"/>
      <w:bookmarkEnd w:id="40"/>
    </w:p>
    <w:p w14:paraId="0AFF2A37">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蓄电池放热连锁反应引起的电池自温升速率急剧变化的过热、起火、爆炸现象。</w:t>
      </w:r>
    </w:p>
    <w:p w14:paraId="582D1FB2">
      <w:pPr>
        <w:pStyle w:val="27"/>
        <w:numPr>
          <w:ilvl w:val="0"/>
          <w:numId w:val="3"/>
        </w:numPr>
        <w:spacing w:line="360" w:lineRule="auto"/>
        <w:rPr>
          <w:rFonts w:hint="eastAsia" w:ascii="宋体" w:hAnsi="宋体" w:eastAsia="宋体"/>
          <w:b/>
          <w:bCs/>
          <w:color w:val="auto"/>
        </w:rPr>
      </w:pPr>
      <w:bookmarkStart w:id="41" w:name="_Toc151110982"/>
      <w:bookmarkStart w:id="42" w:name="_Toc22212"/>
      <w:r>
        <w:rPr>
          <w:rFonts w:hint="eastAsia" w:ascii="宋体" w:hAnsi="宋体" w:eastAsia="宋体"/>
          <w:b/>
          <w:bCs/>
          <w:color w:val="auto"/>
        </w:rPr>
        <w:t>热扩散 thermal propagation</w:t>
      </w:r>
      <w:bookmarkEnd w:id="41"/>
      <w:bookmarkEnd w:id="42"/>
    </w:p>
    <w:p w14:paraId="39BCC9A7">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电池系统内由单体蓄电池热失控引发的其余单体蓄电池接连发生温度上升的现象。</w:t>
      </w:r>
    </w:p>
    <w:p w14:paraId="04B62919">
      <w:pPr>
        <w:pStyle w:val="27"/>
        <w:numPr>
          <w:ilvl w:val="0"/>
          <w:numId w:val="3"/>
        </w:numPr>
        <w:spacing w:line="360" w:lineRule="auto"/>
        <w:rPr>
          <w:rFonts w:hint="eastAsia" w:ascii="宋体" w:hAnsi="宋体" w:eastAsia="宋体"/>
          <w:b/>
          <w:bCs/>
          <w:color w:val="auto"/>
        </w:rPr>
      </w:pPr>
      <w:bookmarkStart w:id="43" w:name="_Toc16133"/>
      <w:bookmarkStart w:id="44" w:name="_Toc151110983"/>
      <w:r>
        <w:rPr>
          <w:rFonts w:hint="eastAsia" w:ascii="宋体" w:hAnsi="宋体" w:eastAsia="宋体"/>
          <w:b/>
          <w:bCs/>
          <w:color w:val="auto"/>
        </w:rPr>
        <w:t>动力蓄电池箱 traction battery enclosure</w:t>
      </w:r>
      <w:bookmarkEnd w:id="43"/>
      <w:bookmarkEnd w:id="44"/>
    </w:p>
    <w:p w14:paraId="15EB1E85">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用于盛装蓄电池组、蓄电池管理系统以及相应的辅助元器件,并包含机械连接、电气连接、防护等功能的总成,简称蓄电池箱。</w:t>
      </w:r>
    </w:p>
    <w:p w14:paraId="7432D065">
      <w:pPr>
        <w:pStyle w:val="27"/>
        <w:numPr>
          <w:ilvl w:val="0"/>
          <w:numId w:val="3"/>
        </w:numPr>
        <w:spacing w:line="360" w:lineRule="auto"/>
        <w:rPr>
          <w:rFonts w:hint="eastAsia" w:ascii="宋体" w:hAnsi="宋体" w:eastAsia="宋体"/>
          <w:b/>
          <w:bCs/>
          <w:color w:val="auto"/>
        </w:rPr>
      </w:pPr>
      <w:bookmarkStart w:id="45" w:name="_Toc151110984"/>
      <w:bookmarkStart w:id="46" w:name="_Toc14450"/>
      <w:r>
        <w:rPr>
          <w:rFonts w:hint="eastAsia" w:ascii="宋体" w:hAnsi="宋体" w:eastAsia="宋体"/>
          <w:b/>
          <w:bCs/>
          <w:color w:val="auto"/>
        </w:rPr>
        <w:t>储能系统安装舱体 mounting cabin for energy storage system</w:t>
      </w:r>
      <w:bookmarkEnd w:id="45"/>
      <w:bookmarkEnd w:id="46"/>
    </w:p>
    <w:p w14:paraId="6BB0D8A9">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电动汽车上固定于车架上，承载蓄电池包的结构。</w:t>
      </w:r>
    </w:p>
    <w:p w14:paraId="6B65ED9C">
      <w:pPr>
        <w:pStyle w:val="27"/>
        <w:numPr>
          <w:ilvl w:val="0"/>
          <w:numId w:val="3"/>
        </w:numPr>
        <w:spacing w:line="360" w:lineRule="auto"/>
        <w:rPr>
          <w:rFonts w:hint="eastAsia" w:ascii="宋体" w:hAnsi="宋体" w:eastAsia="宋体"/>
          <w:b/>
          <w:bCs/>
          <w:color w:val="auto"/>
        </w:rPr>
      </w:pPr>
      <w:bookmarkStart w:id="47" w:name="_Toc151110985"/>
      <w:bookmarkStart w:id="48" w:name="_Toc24076"/>
      <w:r>
        <w:rPr>
          <w:rFonts w:hint="eastAsia" w:ascii="宋体" w:hAnsi="宋体" w:eastAsia="宋体"/>
          <w:b/>
          <w:bCs/>
          <w:color w:val="auto"/>
        </w:rPr>
        <w:t>动力蓄电池热管理系统 battery thermal management system</w:t>
      </w:r>
      <w:bookmarkEnd w:id="47"/>
      <w:bookmarkEnd w:id="48"/>
    </w:p>
    <w:p w14:paraId="288A3C32">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综合运用各种技术手段，具备动力电池冷却、加热、保温和均温等功能，保证动力电池在不同温度环境下正常工作的系统。同时，该系统可以在动力电池发生热失控时提供报警信号，具备安全防护功能。 动力电池热管理系统包括主动式热管理系统和被动式热管理系统两种。</w:t>
      </w:r>
    </w:p>
    <w:p w14:paraId="1E84CE21">
      <w:pPr>
        <w:pStyle w:val="27"/>
        <w:numPr>
          <w:ilvl w:val="0"/>
          <w:numId w:val="3"/>
        </w:numPr>
        <w:spacing w:line="360" w:lineRule="auto"/>
        <w:rPr>
          <w:rFonts w:hint="eastAsia" w:ascii="宋体" w:hAnsi="宋体" w:eastAsia="宋体"/>
          <w:b/>
          <w:bCs/>
          <w:color w:val="auto"/>
        </w:rPr>
      </w:pPr>
      <w:bookmarkStart w:id="49" w:name="_Toc32329"/>
      <w:bookmarkStart w:id="50" w:name="_Toc151110986"/>
      <w:r>
        <w:rPr>
          <w:rFonts w:hint="eastAsia" w:ascii="宋体" w:hAnsi="宋体" w:eastAsia="宋体"/>
          <w:b/>
          <w:bCs/>
          <w:color w:val="auto"/>
        </w:rPr>
        <w:t>动力蓄电池火灾探测系统 battery fire detection system</w:t>
      </w:r>
      <w:bookmarkEnd w:id="49"/>
      <w:bookmarkEnd w:id="50"/>
    </w:p>
    <w:p w14:paraId="374C6CDD">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电动客车锂离子动力蓄电池箱火灾探测报警装置是用于锂离子电池单体、 锂离子电池模块、锂离子电池包和锂离子电池舱发生火灾早期探测，具备报警信号和联动控制输出功能的装置，其传感器应至少由一氧化碳浓度、</w:t>
      </w:r>
      <w:r>
        <w:rPr>
          <w:rFonts w:hint="eastAsia" w:ascii="宋体" w:hAnsi="宋体" w:eastAsia="宋体" w:cs="Arial"/>
          <w:kern w:val="0"/>
          <w:sz w:val="24"/>
          <w:szCs w:val="24"/>
          <w:lang w:val="en-US" w:eastAsia="zh-CN"/>
        </w:rPr>
        <w:t>烟雾浓度、电池包内温度三</w:t>
      </w:r>
      <w:r>
        <w:rPr>
          <w:rFonts w:hint="eastAsia" w:ascii="宋体" w:hAnsi="宋体" w:eastAsia="宋体" w:cs="Arial"/>
          <w:kern w:val="0"/>
          <w:sz w:val="24"/>
          <w:szCs w:val="24"/>
        </w:rPr>
        <w:t>种传感原理的器件组成，</w:t>
      </w:r>
      <w:r>
        <w:rPr>
          <w:rFonts w:hint="default" w:ascii="宋体" w:hAnsi="宋体" w:eastAsia="宋体" w:cs="Arial"/>
          <w:kern w:val="0"/>
          <w:sz w:val="24"/>
          <w:szCs w:val="24"/>
        </w:rPr>
        <w:t>也可具备探测其他危险源的功能</w:t>
      </w:r>
      <w:r>
        <w:rPr>
          <w:rFonts w:hint="eastAsia" w:ascii="宋体" w:hAnsi="宋体" w:eastAsia="宋体" w:cs="Arial"/>
          <w:kern w:val="0"/>
          <w:sz w:val="24"/>
          <w:szCs w:val="24"/>
        </w:rPr>
        <w:t>。包含中央控制系统，当传感器的信号到达预定值时，能够发出报警信号。</w:t>
      </w:r>
    </w:p>
    <w:p w14:paraId="614DD376">
      <w:pPr>
        <w:pStyle w:val="27"/>
        <w:numPr>
          <w:ilvl w:val="0"/>
          <w:numId w:val="3"/>
        </w:numPr>
        <w:spacing w:line="360" w:lineRule="auto"/>
        <w:rPr>
          <w:rFonts w:hint="eastAsia" w:ascii="宋体" w:hAnsi="宋体" w:eastAsia="宋体"/>
          <w:b/>
          <w:bCs/>
          <w:color w:val="auto"/>
        </w:rPr>
      </w:pPr>
      <w:bookmarkStart w:id="51" w:name="_Toc22116"/>
      <w:bookmarkStart w:id="52" w:name="_Toc151110987"/>
      <w:r>
        <w:rPr>
          <w:rFonts w:hint="eastAsia" w:ascii="宋体" w:hAnsi="宋体" w:eastAsia="宋体"/>
          <w:b/>
          <w:bCs/>
          <w:color w:val="auto"/>
        </w:rPr>
        <w:t>动力蓄电池火灾抑制系统 battery fire suppression systems</w:t>
      </w:r>
      <w:bookmarkEnd w:id="51"/>
      <w:bookmarkEnd w:id="52"/>
    </w:p>
    <w:p w14:paraId="7E030859">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包括防火、灭火措施和装置，用于防止蓄电池组发生火灾。当火灾不可避免产生时，及时控制和扑灭火灾，保障车辆和乘客的安全。</w:t>
      </w:r>
    </w:p>
    <w:p w14:paraId="2D4F9035">
      <w:pPr>
        <w:pStyle w:val="27"/>
        <w:numPr>
          <w:ilvl w:val="0"/>
          <w:numId w:val="3"/>
        </w:numPr>
        <w:spacing w:line="360" w:lineRule="auto"/>
        <w:rPr>
          <w:rFonts w:hint="eastAsia" w:ascii="宋体" w:hAnsi="宋体" w:eastAsia="宋体"/>
          <w:b/>
          <w:bCs/>
          <w:color w:val="auto"/>
        </w:rPr>
      </w:pPr>
      <w:bookmarkStart w:id="53" w:name="_Toc151110988"/>
      <w:bookmarkStart w:id="54" w:name="_Toc8142"/>
      <w:r>
        <w:rPr>
          <w:rFonts w:hint="eastAsia" w:ascii="宋体" w:hAnsi="宋体" w:eastAsia="宋体"/>
          <w:b/>
          <w:bCs/>
          <w:color w:val="auto"/>
        </w:rPr>
        <w:t>火灾防控装置 fire prevention and control device</w:t>
      </w:r>
      <w:bookmarkEnd w:id="53"/>
      <w:bookmarkEnd w:id="54"/>
    </w:p>
    <w:p w14:paraId="2CE3FDC9">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固定安装在车辆上，由探测装置和抑制装置组成，具备对电池箱的锂离子电池火灾自动探测报警功能，能够通过自动启动和手动启动对电池箱内火情实施探测报警、防护及热失控抑制、灭火的装置。</w:t>
      </w:r>
    </w:p>
    <w:p w14:paraId="17469392">
      <w:pPr>
        <w:pStyle w:val="27"/>
        <w:numPr>
          <w:ilvl w:val="0"/>
          <w:numId w:val="3"/>
        </w:numPr>
        <w:spacing w:line="360" w:lineRule="auto"/>
        <w:rPr>
          <w:rFonts w:hint="eastAsia" w:ascii="宋体" w:hAnsi="宋体" w:eastAsia="宋体"/>
          <w:b/>
          <w:bCs/>
          <w:color w:val="auto"/>
        </w:rPr>
      </w:pPr>
      <w:bookmarkStart w:id="55" w:name="_Toc6606"/>
      <w:bookmarkStart w:id="56" w:name="_Toc151110989"/>
      <w:r>
        <w:rPr>
          <w:rFonts w:hint="eastAsia" w:ascii="宋体" w:hAnsi="宋体" w:eastAsia="宋体"/>
          <w:b/>
          <w:bCs/>
          <w:color w:val="auto"/>
        </w:rPr>
        <w:t>云平台  cloud platform</w:t>
      </w:r>
      <w:bookmarkEnd w:id="55"/>
      <w:bookmarkEnd w:id="56"/>
    </w:p>
    <w:p w14:paraId="05CF86E6">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云服务商提供的云基础设施及其上的服务软件的集合。</w:t>
      </w:r>
    </w:p>
    <w:p w14:paraId="766AAABC">
      <w:pPr>
        <w:pStyle w:val="27"/>
        <w:numPr>
          <w:ilvl w:val="0"/>
          <w:numId w:val="3"/>
        </w:numPr>
        <w:spacing w:line="360" w:lineRule="auto"/>
        <w:rPr>
          <w:rFonts w:hint="eastAsia" w:ascii="宋体" w:hAnsi="宋体" w:eastAsia="宋体"/>
          <w:b/>
          <w:bCs/>
          <w:color w:val="auto"/>
        </w:rPr>
      </w:pPr>
      <w:bookmarkStart w:id="57" w:name="_Toc1738"/>
      <w:bookmarkStart w:id="58" w:name="_Toc151110990"/>
      <w:r>
        <w:rPr>
          <w:rFonts w:hint="eastAsia" w:ascii="宋体" w:hAnsi="宋体" w:eastAsia="宋体"/>
          <w:b/>
          <w:bCs/>
          <w:color w:val="auto"/>
        </w:rPr>
        <w:t>城市客车 city-bus</w:t>
      </w:r>
      <w:bookmarkEnd w:id="57"/>
      <w:bookmarkEnd w:id="58"/>
    </w:p>
    <w:p w14:paraId="3A2E63FB">
      <w:pPr>
        <w:spacing w:line="360" w:lineRule="auto"/>
        <w:ind w:firstLine="480" w:firstLineChars="200"/>
        <w:rPr>
          <w:rFonts w:hint="eastAsia" w:ascii="宋体" w:hAnsi="宋体" w:eastAsia="宋体" w:cs="Arial"/>
          <w:kern w:val="0"/>
          <w:sz w:val="24"/>
          <w:szCs w:val="24"/>
        </w:rPr>
      </w:pPr>
      <w:r>
        <w:rPr>
          <w:rFonts w:hint="default" w:ascii="宋体" w:hAnsi="宋体" w:eastAsia="宋体" w:cs="Arial"/>
          <w:kern w:val="0"/>
          <w:sz w:val="24"/>
          <w:szCs w:val="24"/>
        </w:rPr>
        <w:t>指最大设计车速小于70 km/h、设有座椅及乘客站立区，并有足够的空间供频繁停站时乘客上下车走动，有固定的公交营运线路和车站，主要在城市建成区运营的客车；也包括无轨电车，即以电动机驱动，与电力线相连的客车。</w:t>
      </w:r>
    </w:p>
    <w:p w14:paraId="7B5E3695">
      <w:pPr>
        <w:pStyle w:val="5"/>
        <w:numPr>
          <w:ilvl w:val="0"/>
          <w:numId w:val="2"/>
        </w:numPr>
        <w:spacing w:line="360" w:lineRule="auto"/>
        <w:ind w:left="284" w:hanging="284"/>
        <w:jc w:val="left"/>
        <w:rPr>
          <w:rFonts w:hint="default" w:ascii="宋体" w:hAnsi="宋体" w:eastAsia="宋体"/>
          <w:sz w:val="24"/>
          <w:szCs w:val="24"/>
        </w:rPr>
      </w:pPr>
      <w:bookmarkStart w:id="59" w:name="_Toc8368"/>
      <w:bookmarkStart w:id="60" w:name="_Toc21966"/>
      <w:bookmarkStart w:id="61" w:name="_Toc151110992"/>
      <w:r>
        <w:rPr>
          <w:rFonts w:hint="eastAsia" w:ascii="宋体" w:hAnsi="宋体" w:eastAsia="宋体"/>
          <w:sz w:val="24"/>
          <w:szCs w:val="24"/>
        </w:rPr>
        <w:t>缩略语</w:t>
      </w:r>
      <w:bookmarkEnd w:id="59"/>
      <w:bookmarkEnd w:id="60"/>
      <w:bookmarkEnd w:id="61"/>
    </w:p>
    <w:p w14:paraId="0AD2ADFD">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下列缩略语适用于本文件：</w:t>
      </w:r>
    </w:p>
    <w:p w14:paraId="72EA5745">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BCU</w:t>
      </w:r>
      <w:r>
        <w:rPr>
          <w:rFonts w:hint="eastAsia" w:ascii="宋体" w:hAnsi="宋体" w:eastAsia="宋体" w:cs="Arial"/>
          <w:kern w:val="0"/>
          <w:sz w:val="24"/>
          <w:szCs w:val="24"/>
        </w:rPr>
        <w:t>控制单元（</w:t>
      </w:r>
      <w:r>
        <w:rPr>
          <w:rFonts w:hint="default" w:ascii="宋体" w:hAnsi="宋体" w:eastAsia="宋体" w:cs="Arial"/>
          <w:kern w:val="0"/>
          <w:sz w:val="24"/>
          <w:szCs w:val="24"/>
        </w:rPr>
        <w:t>Battery Control Unit</w:t>
      </w:r>
      <w:r>
        <w:rPr>
          <w:rFonts w:hint="eastAsia" w:ascii="宋体" w:hAnsi="宋体" w:eastAsia="宋体" w:cs="Arial"/>
          <w:kern w:val="0"/>
          <w:sz w:val="24"/>
          <w:szCs w:val="24"/>
        </w:rPr>
        <w:t>）</w:t>
      </w:r>
    </w:p>
    <w:p w14:paraId="0F10E7C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PTC</w:t>
      </w:r>
      <w:r>
        <w:rPr>
          <w:rFonts w:hint="eastAsia" w:ascii="宋体" w:hAnsi="宋体" w:eastAsia="宋体" w:cs="Arial"/>
          <w:kern w:val="0"/>
          <w:sz w:val="24"/>
          <w:szCs w:val="24"/>
        </w:rPr>
        <w:t>正温度系数热敏电阻（</w:t>
      </w:r>
      <w:r>
        <w:rPr>
          <w:rFonts w:hint="default" w:ascii="宋体" w:hAnsi="宋体" w:eastAsia="宋体" w:cs="Arial"/>
          <w:kern w:val="0"/>
          <w:sz w:val="24"/>
          <w:szCs w:val="24"/>
        </w:rPr>
        <w:t>Positive Temperature Coefficient</w:t>
      </w:r>
      <w:r>
        <w:rPr>
          <w:rFonts w:hint="eastAsia" w:ascii="宋体" w:hAnsi="宋体" w:eastAsia="宋体" w:cs="Arial"/>
          <w:kern w:val="0"/>
          <w:sz w:val="24"/>
          <w:szCs w:val="24"/>
        </w:rPr>
        <w:t>）</w:t>
      </w:r>
    </w:p>
    <w:p w14:paraId="36F3205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MSD</w:t>
      </w:r>
      <w:r>
        <w:rPr>
          <w:rFonts w:hint="eastAsia" w:ascii="宋体" w:hAnsi="宋体" w:eastAsia="宋体" w:cs="Arial"/>
          <w:kern w:val="0"/>
          <w:sz w:val="24"/>
          <w:szCs w:val="24"/>
        </w:rPr>
        <w:t>手动维护开关（</w:t>
      </w:r>
      <w:r>
        <w:rPr>
          <w:rFonts w:hint="default" w:ascii="宋体" w:hAnsi="宋体" w:eastAsia="宋体" w:cs="Arial"/>
          <w:kern w:val="0"/>
          <w:sz w:val="24"/>
          <w:szCs w:val="24"/>
        </w:rPr>
        <w:t>Manual Service Disconnect</w:t>
      </w:r>
      <w:r>
        <w:rPr>
          <w:rFonts w:hint="eastAsia" w:ascii="宋体" w:hAnsi="宋体" w:eastAsia="宋体" w:cs="Arial"/>
          <w:kern w:val="0"/>
          <w:sz w:val="24"/>
          <w:szCs w:val="24"/>
        </w:rPr>
        <w:t>）</w:t>
      </w:r>
    </w:p>
    <w:p w14:paraId="36531BD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DC</w:t>
      </w:r>
      <w:r>
        <w:rPr>
          <w:rFonts w:hint="eastAsia" w:ascii="宋体" w:hAnsi="宋体" w:eastAsia="宋体" w:cs="Arial"/>
          <w:kern w:val="0"/>
          <w:sz w:val="24"/>
          <w:szCs w:val="24"/>
        </w:rPr>
        <w:t>直流电（</w:t>
      </w:r>
      <w:r>
        <w:rPr>
          <w:rFonts w:hint="default" w:ascii="宋体" w:hAnsi="宋体" w:eastAsia="宋体" w:cs="Arial"/>
          <w:kern w:val="0"/>
          <w:sz w:val="24"/>
          <w:szCs w:val="24"/>
        </w:rPr>
        <w:t>Direct Current</w:t>
      </w:r>
      <w:r>
        <w:rPr>
          <w:rFonts w:hint="eastAsia" w:ascii="宋体" w:hAnsi="宋体" w:eastAsia="宋体" w:cs="Arial"/>
          <w:kern w:val="0"/>
          <w:sz w:val="24"/>
          <w:szCs w:val="24"/>
        </w:rPr>
        <w:t>）</w:t>
      </w:r>
    </w:p>
    <w:p w14:paraId="43CE3FA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BMS</w:t>
      </w:r>
      <w:r>
        <w:rPr>
          <w:rFonts w:hint="eastAsia" w:ascii="宋体" w:hAnsi="宋体" w:eastAsia="宋体" w:cs="Arial"/>
          <w:kern w:val="0"/>
          <w:sz w:val="24"/>
          <w:szCs w:val="24"/>
        </w:rPr>
        <w:t>电池管理系统（</w:t>
      </w:r>
      <w:r>
        <w:rPr>
          <w:rFonts w:hint="default" w:ascii="宋体" w:hAnsi="宋体" w:eastAsia="宋体" w:cs="Arial"/>
          <w:kern w:val="0"/>
          <w:sz w:val="24"/>
          <w:szCs w:val="24"/>
        </w:rPr>
        <w:t>Battery Management System</w:t>
      </w:r>
      <w:r>
        <w:rPr>
          <w:rFonts w:hint="eastAsia" w:ascii="宋体" w:hAnsi="宋体" w:eastAsia="宋体" w:cs="Arial"/>
          <w:kern w:val="0"/>
          <w:sz w:val="24"/>
          <w:szCs w:val="24"/>
        </w:rPr>
        <w:t>）</w:t>
      </w:r>
    </w:p>
    <w:p w14:paraId="15777204">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EMC</w:t>
      </w:r>
      <w:r>
        <w:rPr>
          <w:rFonts w:hint="eastAsia" w:ascii="宋体" w:hAnsi="宋体" w:eastAsia="宋体" w:cs="Arial"/>
          <w:kern w:val="0"/>
          <w:sz w:val="24"/>
          <w:szCs w:val="24"/>
        </w:rPr>
        <w:t>电磁兼容性（</w:t>
      </w:r>
      <w:r>
        <w:rPr>
          <w:rFonts w:hint="default" w:ascii="宋体" w:hAnsi="宋体" w:eastAsia="宋体" w:cs="Arial"/>
          <w:kern w:val="0"/>
          <w:sz w:val="24"/>
          <w:szCs w:val="24"/>
        </w:rPr>
        <w:t>Electro Magnetic Compatibility</w:t>
      </w:r>
      <w:r>
        <w:rPr>
          <w:rFonts w:hint="eastAsia" w:ascii="宋体" w:hAnsi="宋体" w:eastAsia="宋体" w:cs="Arial"/>
          <w:kern w:val="0"/>
          <w:sz w:val="24"/>
          <w:szCs w:val="24"/>
        </w:rPr>
        <w:t>）</w:t>
      </w:r>
    </w:p>
    <w:p w14:paraId="4CED984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CAN</w:t>
      </w:r>
      <w:r>
        <w:rPr>
          <w:rFonts w:hint="eastAsia" w:ascii="宋体" w:hAnsi="宋体" w:eastAsia="宋体" w:cs="Arial"/>
          <w:kern w:val="0"/>
          <w:sz w:val="24"/>
          <w:szCs w:val="24"/>
        </w:rPr>
        <w:t>控制器局域网总线（</w:t>
      </w:r>
      <w:r>
        <w:rPr>
          <w:rFonts w:hint="default" w:ascii="宋体" w:hAnsi="宋体" w:eastAsia="宋体" w:cs="Arial"/>
          <w:kern w:val="0"/>
          <w:sz w:val="24"/>
          <w:szCs w:val="24"/>
        </w:rPr>
        <w:t>Controller Area Network</w:t>
      </w:r>
      <w:r>
        <w:rPr>
          <w:rFonts w:hint="eastAsia" w:ascii="宋体" w:hAnsi="宋体" w:eastAsia="宋体" w:cs="Arial"/>
          <w:kern w:val="0"/>
          <w:sz w:val="24"/>
          <w:szCs w:val="24"/>
        </w:rPr>
        <w:t>）</w:t>
      </w:r>
    </w:p>
    <w:p w14:paraId="6CC97D5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SOC 荷电状态（State of charge）</w:t>
      </w:r>
    </w:p>
    <w:p w14:paraId="1D0E6C80">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SOP电池的功率状态（State of Power）</w:t>
      </w:r>
    </w:p>
    <w:p w14:paraId="37FF9B3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TLS</w:t>
      </w:r>
      <w:r>
        <w:rPr>
          <w:rFonts w:hint="default" w:ascii="宋体" w:hAnsi="宋体" w:eastAsia="宋体" w:cs="Arial"/>
          <w:kern w:val="0"/>
          <w:sz w:val="24"/>
          <w:szCs w:val="24"/>
          <w:lang w:val="en-US"/>
        </w:rPr>
        <w:t xml:space="preserve"> 传输层安全（Transport Layer Security）</w:t>
      </w:r>
    </w:p>
    <w:p w14:paraId="3F63278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SSL </w:t>
      </w:r>
      <w:r>
        <w:rPr>
          <w:rFonts w:hint="eastAsia" w:ascii="宋体" w:hAnsi="宋体" w:eastAsia="宋体" w:cs="Arial"/>
          <w:kern w:val="0"/>
          <w:sz w:val="24"/>
          <w:szCs w:val="24"/>
        </w:rPr>
        <w:t>安全套接字层（</w:t>
      </w:r>
      <w:r>
        <w:rPr>
          <w:rFonts w:hint="default" w:ascii="宋体" w:hAnsi="宋体" w:eastAsia="宋体" w:cs="Arial"/>
          <w:kern w:val="0"/>
          <w:sz w:val="24"/>
          <w:szCs w:val="24"/>
        </w:rPr>
        <w:t>Secure Sockets Layer</w:t>
      </w:r>
      <w:r>
        <w:rPr>
          <w:rFonts w:hint="eastAsia" w:ascii="宋体" w:hAnsi="宋体" w:eastAsia="宋体" w:cs="Arial"/>
          <w:kern w:val="0"/>
          <w:sz w:val="24"/>
          <w:szCs w:val="24"/>
        </w:rPr>
        <w:t>）</w:t>
      </w:r>
    </w:p>
    <w:p w14:paraId="1C6B88D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AES 密码学中的高级加密标准</w:t>
      </w:r>
      <w:r>
        <w:rPr>
          <w:rFonts w:hint="eastAsia" w:ascii="宋体" w:hAnsi="宋体" w:eastAsia="宋体" w:cs="Arial"/>
          <w:kern w:val="0"/>
          <w:sz w:val="24"/>
          <w:szCs w:val="24"/>
        </w:rPr>
        <w:t>（</w:t>
      </w:r>
      <w:r>
        <w:rPr>
          <w:rFonts w:hint="default" w:ascii="宋体" w:hAnsi="宋体" w:eastAsia="宋体" w:cs="Arial"/>
          <w:kern w:val="0"/>
          <w:sz w:val="24"/>
          <w:szCs w:val="24"/>
        </w:rPr>
        <w:t>Advanced Encryption Standard</w:t>
      </w:r>
      <w:r>
        <w:rPr>
          <w:rFonts w:hint="default" w:ascii="宋体" w:hAnsi="宋体" w:eastAsia="宋体" w:cs="Arial"/>
          <w:kern w:val="0"/>
          <w:sz w:val="24"/>
          <w:szCs w:val="24"/>
          <w:lang w:val="en-US"/>
        </w:rPr>
        <w:t>）</w:t>
      </w:r>
    </w:p>
    <w:p w14:paraId="34C3E008">
      <w:pPr>
        <w:pStyle w:val="5"/>
        <w:numPr>
          <w:ilvl w:val="0"/>
          <w:numId w:val="2"/>
        </w:numPr>
        <w:spacing w:line="360" w:lineRule="auto"/>
        <w:ind w:left="284" w:hanging="284"/>
        <w:jc w:val="left"/>
        <w:rPr>
          <w:rFonts w:hint="default" w:ascii="宋体" w:hAnsi="宋体" w:eastAsia="宋体"/>
          <w:sz w:val="24"/>
          <w:szCs w:val="24"/>
        </w:rPr>
      </w:pPr>
      <w:bookmarkStart w:id="62" w:name="_Toc151110993"/>
      <w:bookmarkEnd w:id="62"/>
      <w:bookmarkStart w:id="63" w:name="_Toc151110927"/>
      <w:bookmarkEnd w:id="63"/>
      <w:bookmarkStart w:id="64" w:name="_Toc151021109"/>
      <w:bookmarkEnd w:id="64"/>
      <w:bookmarkStart w:id="65" w:name="_Toc150873269"/>
      <w:bookmarkEnd w:id="65"/>
      <w:bookmarkStart w:id="66" w:name="_Toc150872480"/>
      <w:bookmarkEnd w:id="66"/>
      <w:bookmarkStart w:id="67" w:name="_Toc150873217"/>
      <w:bookmarkEnd w:id="67"/>
      <w:bookmarkStart w:id="68" w:name="_Toc151034676"/>
      <w:bookmarkEnd w:id="68"/>
      <w:bookmarkStart w:id="69" w:name="_Toc151110994"/>
      <w:bookmarkStart w:id="70" w:name="_Toc29190"/>
      <w:bookmarkStart w:id="71" w:name="_Toc29761"/>
      <w:r>
        <w:rPr>
          <w:rFonts w:hint="eastAsia" w:ascii="宋体" w:hAnsi="宋体" w:eastAsia="宋体"/>
          <w:sz w:val="24"/>
          <w:szCs w:val="24"/>
        </w:rPr>
        <w:t>系统构成</w:t>
      </w:r>
      <w:bookmarkEnd w:id="69"/>
      <w:bookmarkEnd w:id="70"/>
      <w:bookmarkEnd w:id="71"/>
    </w:p>
    <w:p w14:paraId="4882B9F3">
      <w:pPr>
        <w:pStyle w:val="26"/>
        <w:numPr>
          <w:ilvl w:val="0"/>
          <w:numId w:val="4"/>
        </w:numPr>
        <w:spacing w:line="360" w:lineRule="auto"/>
        <w:ind w:firstLineChars="0"/>
        <w:jc w:val="left"/>
        <w:rPr>
          <w:rFonts w:hint="default" w:ascii="宋体" w:hAnsi="宋体" w:eastAsia="宋体"/>
          <w:b/>
          <w:bCs/>
          <w:sz w:val="24"/>
          <w:szCs w:val="24"/>
        </w:rPr>
      </w:pPr>
      <w:bookmarkStart w:id="72" w:name="_Toc151110995"/>
      <w:bookmarkStart w:id="73" w:name="_Toc24577"/>
      <w:r>
        <w:rPr>
          <w:rFonts w:hint="eastAsia" w:ascii="宋体" w:hAnsi="宋体" w:eastAsia="宋体"/>
          <w:b/>
          <w:bCs/>
          <w:sz w:val="24"/>
          <w:szCs w:val="24"/>
        </w:rPr>
        <w:t>动力蓄电池热管理系统</w:t>
      </w:r>
      <w:bookmarkEnd w:id="72"/>
      <w:bookmarkEnd w:id="73"/>
      <w:bookmarkStart w:id="74" w:name="_Toc29404"/>
      <w:bookmarkEnd w:id="74"/>
      <w:bookmarkStart w:id="75" w:name="_Toc151110996"/>
      <w:bookmarkEnd w:id="75"/>
    </w:p>
    <w:p w14:paraId="7B3FC04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5.1.1</w:t>
      </w:r>
      <w:r>
        <w:rPr>
          <w:rFonts w:hint="eastAsia" w:ascii="宋体" w:hAnsi="宋体" w:eastAsia="宋体" w:cs="Arial"/>
          <w:kern w:val="0"/>
          <w:sz w:val="24"/>
          <w:szCs w:val="24"/>
        </w:rPr>
        <w:t>动力电池热管理系统的基本功能包括冷却（包括高温充电冷却、高温放电冷却）、加热（低温充电加热、低温放电加热）、均温（减小电池间的温差）三个方面。</w:t>
      </w:r>
    </w:p>
    <w:p w14:paraId="10817BF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5.1.2 </w:t>
      </w:r>
      <w:r>
        <w:rPr>
          <w:rFonts w:hint="eastAsia" w:ascii="宋体" w:hAnsi="宋体" w:eastAsia="宋体" w:cs="Arial"/>
          <w:kern w:val="0"/>
          <w:sz w:val="24"/>
          <w:szCs w:val="24"/>
        </w:rPr>
        <w:t>电池热管理系统应能根据整车发出的冷却、加热、均温请求完成相应功能，并把水温控制在合理的区间范围内。</w:t>
      </w:r>
    </w:p>
    <w:p w14:paraId="27D2660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5.1.3</w:t>
      </w:r>
      <w:r>
        <w:rPr>
          <w:rFonts w:hint="eastAsia" w:ascii="宋体" w:hAnsi="宋体" w:eastAsia="宋体" w:cs="Arial"/>
          <w:kern w:val="0"/>
          <w:sz w:val="24"/>
          <w:szCs w:val="24"/>
        </w:rPr>
        <w:t>电池热管理系统应具有故障诊断、故障信息记录以及故障处理的功能</w:t>
      </w:r>
      <w:r>
        <w:rPr>
          <w:rFonts w:hint="default" w:ascii="宋体" w:hAnsi="宋体" w:eastAsia="宋体" w:cs="Arial"/>
          <w:kern w:val="0"/>
          <w:sz w:val="24"/>
          <w:szCs w:val="24"/>
        </w:rPr>
        <w:t>，</w:t>
      </w:r>
      <w:r>
        <w:rPr>
          <w:rFonts w:hint="eastAsia" w:ascii="宋体" w:hAnsi="宋体" w:eastAsia="宋体" w:cs="Arial"/>
          <w:kern w:val="0"/>
          <w:sz w:val="24"/>
          <w:szCs w:val="24"/>
        </w:rPr>
        <w:t>如故障码上报、实时警示和故障保护等。</w:t>
      </w:r>
    </w:p>
    <w:p w14:paraId="4AEA0BC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5.1.4 </w:t>
      </w:r>
      <w:r>
        <w:rPr>
          <w:rFonts w:hint="eastAsia" w:ascii="宋体" w:hAnsi="宋体" w:eastAsia="宋体" w:cs="Arial"/>
          <w:kern w:val="0"/>
          <w:sz w:val="24"/>
          <w:szCs w:val="24"/>
        </w:rPr>
        <w:t>电池热管理系统应具有与车辆的其他控制器信息交互的功能。</w:t>
      </w:r>
    </w:p>
    <w:p w14:paraId="4DB210A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5.1.5 </w:t>
      </w:r>
      <w:r>
        <w:rPr>
          <w:rFonts w:hint="eastAsia" w:ascii="宋体" w:hAnsi="宋体" w:eastAsia="宋体" w:cs="Arial"/>
          <w:kern w:val="0"/>
          <w:sz w:val="24"/>
          <w:szCs w:val="24"/>
        </w:rPr>
        <w:t>电池热管理系统应在-</w:t>
      </w:r>
      <w:r>
        <w:rPr>
          <w:rFonts w:hint="default" w:ascii="宋体" w:hAnsi="宋体" w:eastAsia="宋体" w:cs="Arial"/>
          <w:kern w:val="0"/>
          <w:sz w:val="24"/>
          <w:szCs w:val="24"/>
        </w:rPr>
        <w:t>40</w:t>
      </w:r>
      <w:r>
        <w:rPr>
          <w:rFonts w:hint="eastAsia" w:ascii="宋体" w:hAnsi="宋体" w:eastAsia="宋体" w:cs="Arial"/>
          <w:kern w:val="0"/>
          <w:sz w:val="24"/>
          <w:szCs w:val="24"/>
        </w:rPr>
        <w:t>℃</w:t>
      </w:r>
      <w:r>
        <w:rPr>
          <w:rFonts w:hint="default" w:ascii="宋体" w:hAnsi="宋体" w:eastAsia="宋体" w:cs="Arial"/>
          <w:kern w:val="0"/>
          <w:sz w:val="24"/>
          <w:szCs w:val="24"/>
        </w:rPr>
        <w:t>~</w:t>
      </w:r>
      <w:r>
        <w:rPr>
          <w:rFonts w:hint="eastAsia" w:ascii="宋体" w:hAnsi="宋体" w:eastAsia="宋体" w:cs="Arial"/>
          <w:kern w:val="0"/>
          <w:sz w:val="24"/>
          <w:szCs w:val="24"/>
          <w:lang w:val="en-US" w:eastAsia="zh-CN"/>
        </w:rPr>
        <w:t>85</w:t>
      </w:r>
      <w:r>
        <w:rPr>
          <w:rFonts w:hint="eastAsia" w:ascii="宋体" w:hAnsi="宋体" w:eastAsia="宋体" w:cs="Arial"/>
          <w:kern w:val="0"/>
          <w:sz w:val="24"/>
          <w:szCs w:val="24"/>
        </w:rPr>
        <w:t>℃范围内正常工作。</w:t>
      </w:r>
    </w:p>
    <w:p w14:paraId="4A72F92C">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lang w:val="en-US"/>
        </w:rPr>
        <w:t xml:space="preserve">5.1.6 </w:t>
      </w:r>
      <w:r>
        <w:rPr>
          <w:rFonts w:hint="default" w:ascii="宋体" w:hAnsi="宋体" w:eastAsia="宋体" w:cs="Arial"/>
          <w:kern w:val="0"/>
          <w:sz w:val="24"/>
          <w:szCs w:val="24"/>
        </w:rPr>
        <w:t>动力</w:t>
      </w:r>
      <w:r>
        <w:rPr>
          <w:rFonts w:hint="eastAsia" w:ascii="宋体" w:hAnsi="宋体" w:eastAsia="宋体" w:cs="Arial"/>
          <w:kern w:val="0"/>
          <w:sz w:val="24"/>
          <w:szCs w:val="24"/>
          <w:lang w:val="en-US"/>
        </w:rPr>
        <w:t>蓄电池独立式液冷热管理系统应符合附录</w:t>
      </w:r>
      <w:r>
        <w:rPr>
          <w:rFonts w:hint="default" w:ascii="宋体" w:hAnsi="宋体" w:eastAsia="宋体" w:cs="Arial"/>
          <w:kern w:val="0"/>
          <w:sz w:val="24"/>
          <w:szCs w:val="24"/>
          <w:lang w:val="en-US"/>
        </w:rPr>
        <w:t xml:space="preserve"> A </w:t>
      </w:r>
      <w:r>
        <w:rPr>
          <w:rFonts w:hint="eastAsia" w:ascii="宋体" w:hAnsi="宋体" w:eastAsia="宋体" w:cs="Arial"/>
          <w:kern w:val="0"/>
          <w:sz w:val="24"/>
          <w:szCs w:val="24"/>
          <w:lang w:val="en-US"/>
        </w:rPr>
        <w:t>的要求。</w:t>
      </w:r>
    </w:p>
    <w:p w14:paraId="66D5B547">
      <w:pPr>
        <w:pStyle w:val="26"/>
        <w:numPr>
          <w:ilvl w:val="0"/>
          <w:numId w:val="4"/>
        </w:numPr>
        <w:spacing w:line="360" w:lineRule="auto"/>
        <w:ind w:firstLineChars="0"/>
        <w:jc w:val="left"/>
        <w:rPr>
          <w:rFonts w:hint="default" w:ascii="宋体" w:hAnsi="宋体" w:eastAsia="宋体"/>
          <w:b/>
          <w:bCs/>
          <w:sz w:val="24"/>
          <w:szCs w:val="24"/>
        </w:rPr>
      </w:pPr>
      <w:bookmarkStart w:id="76" w:name="_Toc30168"/>
      <w:bookmarkStart w:id="77" w:name="_Toc151110997"/>
      <w:r>
        <w:rPr>
          <w:rFonts w:hint="eastAsia" w:ascii="宋体" w:hAnsi="宋体" w:eastAsia="宋体"/>
          <w:b/>
          <w:bCs/>
          <w:sz w:val="24"/>
          <w:szCs w:val="24"/>
        </w:rPr>
        <w:t>动力蓄电池火灾探测系统</w:t>
      </w:r>
      <w:bookmarkEnd w:id="76"/>
      <w:bookmarkEnd w:id="77"/>
    </w:p>
    <w:p w14:paraId="0C14CCC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w:t>
      </w:r>
      <w:bookmarkStart w:id="78" w:name="_Toc149738232"/>
      <w:r>
        <w:rPr>
          <w:rFonts w:hint="default" w:ascii="宋体" w:hAnsi="宋体" w:eastAsia="宋体" w:cs="Arial"/>
          <w:kern w:val="0"/>
          <w:sz w:val="24"/>
          <w:szCs w:val="24"/>
        </w:rPr>
        <w:t>1</w:t>
      </w:r>
      <w:r>
        <w:rPr>
          <w:rFonts w:hint="eastAsia" w:ascii="宋体" w:hAnsi="宋体" w:eastAsia="宋体" w:cs="Arial"/>
          <w:kern w:val="0"/>
          <w:sz w:val="24"/>
          <w:szCs w:val="24"/>
        </w:rPr>
        <w:t>探测报警装置的组成</w:t>
      </w:r>
      <w:bookmarkEnd w:id="78"/>
    </w:p>
    <w:p w14:paraId="6A7C1891">
      <w:pPr>
        <w:spacing w:line="360" w:lineRule="auto"/>
        <w:ind w:firstLine="480" w:firstLineChars="200"/>
        <w:rPr>
          <w:rFonts w:hint="eastAsia" w:ascii="宋体" w:hAnsi="宋体" w:eastAsia="宋体" w:cs="Arial"/>
          <w:kern w:val="0"/>
          <w:sz w:val="24"/>
          <w:szCs w:val="24"/>
        </w:rPr>
      </w:pPr>
      <w:r>
        <w:rPr>
          <w:rFonts w:hint="default" w:ascii="宋体" w:hAnsi="宋体" w:eastAsia="宋体" w:cs="Arial"/>
          <w:kern w:val="0"/>
          <w:sz w:val="24"/>
          <w:szCs w:val="24"/>
          <w:lang w:val="en-US"/>
        </w:rPr>
        <w:t>探测报警装置由探测单元、控制单元和操作显示单元组成。其中，探测单元安装在动力蓄电池箱内或传感部件安装在动力蓄电池箱内；操作显示单元安装在电动客车的仪表台上。</w:t>
      </w:r>
    </w:p>
    <w:p w14:paraId="349D52B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w:t>
      </w:r>
      <w:bookmarkStart w:id="79" w:name="_Toc149738233"/>
      <w:r>
        <w:rPr>
          <w:rFonts w:hint="default" w:ascii="宋体" w:hAnsi="宋体" w:eastAsia="宋体" w:cs="Arial"/>
          <w:kern w:val="0"/>
          <w:sz w:val="24"/>
          <w:szCs w:val="24"/>
        </w:rPr>
        <w:t>2</w:t>
      </w:r>
      <w:r>
        <w:rPr>
          <w:rFonts w:hint="eastAsia" w:ascii="宋体" w:hAnsi="宋体" w:eastAsia="宋体" w:cs="Arial"/>
          <w:kern w:val="0"/>
          <w:sz w:val="24"/>
          <w:szCs w:val="24"/>
        </w:rPr>
        <w:t>外观</w:t>
      </w:r>
      <w:bookmarkEnd w:id="79"/>
    </w:p>
    <w:p w14:paraId="6CBEE002">
      <w:pPr>
        <w:spacing w:line="360" w:lineRule="auto"/>
        <w:ind w:firstLine="480" w:firstLineChars="200"/>
        <w:rPr>
          <w:rFonts w:hint="default" w:ascii="宋体" w:hAnsi="宋体" w:eastAsia="宋体" w:cs="Arial"/>
          <w:kern w:val="0"/>
          <w:sz w:val="24"/>
          <w:szCs w:val="24"/>
        </w:rPr>
      </w:pPr>
      <w:bookmarkStart w:id="80" w:name="_Hlk148548472"/>
      <w:r>
        <w:rPr>
          <w:rFonts w:hint="eastAsia" w:ascii="宋体" w:hAnsi="宋体" w:eastAsia="宋体" w:cs="Arial"/>
          <w:kern w:val="0"/>
          <w:sz w:val="24"/>
          <w:szCs w:val="24"/>
        </w:rPr>
        <w:t>探测报警装置</w:t>
      </w:r>
      <w:bookmarkEnd w:id="80"/>
      <w:r>
        <w:rPr>
          <w:rFonts w:hint="eastAsia" w:ascii="宋体" w:hAnsi="宋体" w:eastAsia="宋体" w:cs="Arial"/>
          <w:kern w:val="0"/>
          <w:sz w:val="24"/>
          <w:szCs w:val="24"/>
        </w:rPr>
        <w:t>应具备产品出厂时的完整包装。包装中应包含质量检验合格标志和使用说明书。探测报警装置表面应无腐蚀、涂覆层脱落和起泡现象，无明显划伤、裂痕、毛刺等机械损伤，紧固部位无松动。</w:t>
      </w:r>
    </w:p>
    <w:p w14:paraId="3205507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5.2.3</w:t>
      </w:r>
      <w:r>
        <w:rPr>
          <w:rFonts w:hint="eastAsia" w:ascii="宋体" w:hAnsi="宋体" w:eastAsia="宋体" w:cs="Arial"/>
          <w:kern w:val="0"/>
          <w:sz w:val="24"/>
          <w:szCs w:val="24"/>
        </w:rPr>
        <w:t>供电电压</w:t>
      </w:r>
    </w:p>
    <w:p w14:paraId="7E463862">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探测报警装置应采用36 V及以下的直流电压供电。</w:t>
      </w:r>
    </w:p>
    <w:p w14:paraId="17F561B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5.2.4</w:t>
      </w:r>
      <w:r>
        <w:rPr>
          <w:rFonts w:hint="eastAsia" w:ascii="宋体" w:hAnsi="宋体" w:eastAsia="宋体" w:cs="Arial"/>
          <w:kern w:val="0"/>
          <w:sz w:val="24"/>
          <w:szCs w:val="24"/>
        </w:rPr>
        <w:t>指示灯</w:t>
      </w:r>
    </w:p>
    <w:p w14:paraId="0215FA8B">
      <w:pPr>
        <w:spacing w:line="360" w:lineRule="auto"/>
        <w:ind w:firstLine="480" w:firstLineChars="200"/>
        <w:rPr>
          <w:rFonts w:hint="default" w:ascii="宋体" w:hAnsi="宋体" w:eastAsia="宋体" w:cs="Arial"/>
          <w:kern w:val="0"/>
          <w:sz w:val="24"/>
          <w:szCs w:val="24"/>
        </w:rPr>
      </w:pPr>
      <w:bookmarkStart w:id="81" w:name="_Hlk149062004"/>
      <w:r>
        <w:rPr>
          <w:rFonts w:hint="eastAsia" w:ascii="宋体" w:hAnsi="宋体" w:eastAsia="宋体" w:cs="Arial"/>
          <w:kern w:val="0"/>
          <w:sz w:val="24"/>
          <w:szCs w:val="24"/>
        </w:rPr>
        <w:t>控制显示单元应</w:t>
      </w:r>
      <w:bookmarkEnd w:id="81"/>
      <w:r>
        <w:rPr>
          <w:rFonts w:hint="eastAsia" w:ascii="宋体" w:hAnsi="宋体" w:eastAsia="宋体" w:cs="Arial"/>
          <w:kern w:val="0"/>
          <w:sz w:val="24"/>
          <w:szCs w:val="24"/>
        </w:rPr>
        <w:t>具有独立的工作状态指示灯，分别指示其正常监视、故障、报警工作状态。正常监视状态指示应为绿色，故障状态指示应为黄色，报警状态指示应为红色。指示灯应有中文功能注释。</w:t>
      </w:r>
    </w:p>
    <w:p w14:paraId="444AEC53">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注：正常监视状态指探测报警装置接通电源正常工作，且未发出报警信号或故障信号时的状态。</w:t>
      </w:r>
    </w:p>
    <w:p w14:paraId="5381612D">
      <w:pPr>
        <w:spacing w:line="360" w:lineRule="auto"/>
        <w:ind w:firstLine="480" w:firstLineChars="200"/>
        <w:rPr>
          <w:rFonts w:hint="eastAsia" w:ascii="宋体" w:hAnsi="宋体" w:eastAsia="宋体" w:cs="Arial"/>
          <w:kern w:val="0"/>
          <w:sz w:val="24"/>
          <w:szCs w:val="24"/>
        </w:rPr>
      </w:pPr>
      <w:r>
        <w:rPr>
          <w:rFonts w:hint="default" w:ascii="宋体" w:hAnsi="宋体" w:eastAsia="宋体" w:cs="Arial"/>
          <w:kern w:val="0"/>
          <w:sz w:val="24"/>
          <w:szCs w:val="24"/>
        </w:rPr>
        <w:t>5.2.5</w:t>
      </w:r>
      <w:r>
        <w:rPr>
          <w:rFonts w:hint="eastAsia" w:ascii="宋体" w:hAnsi="宋体" w:eastAsia="宋体" w:cs="Arial"/>
          <w:kern w:val="0"/>
          <w:sz w:val="24"/>
          <w:szCs w:val="24"/>
        </w:rPr>
        <w:t>音响器件</w:t>
      </w:r>
    </w:p>
    <w:p w14:paraId="5A1040C7">
      <w:pPr>
        <w:spacing w:line="360" w:lineRule="auto"/>
        <w:ind w:firstLine="480" w:firstLineChars="200"/>
        <w:rPr>
          <w:rFonts w:hint="default" w:ascii="宋体" w:hAnsi="宋体" w:eastAsia="宋体" w:cs="Arial"/>
          <w:kern w:val="0"/>
          <w:sz w:val="24"/>
          <w:szCs w:val="24"/>
        </w:rPr>
      </w:pPr>
      <w:bookmarkStart w:id="82" w:name="_Hlk148551345"/>
      <w:r>
        <w:rPr>
          <w:rFonts w:hint="eastAsia" w:ascii="宋体" w:hAnsi="宋体" w:eastAsia="宋体" w:cs="Arial"/>
          <w:kern w:val="0"/>
          <w:sz w:val="24"/>
          <w:szCs w:val="24"/>
        </w:rPr>
        <w:t>探测报警装置</w:t>
      </w:r>
      <w:bookmarkEnd w:id="82"/>
      <w:r>
        <w:rPr>
          <w:rFonts w:hint="eastAsia" w:ascii="宋体" w:hAnsi="宋体" w:eastAsia="宋体" w:cs="Arial"/>
          <w:kern w:val="0"/>
          <w:sz w:val="24"/>
          <w:szCs w:val="24"/>
        </w:rPr>
        <w:t>在额定工作电压条件下，在自由声场中探测报警装置正前方</w:t>
      </w:r>
      <w:r>
        <w:rPr>
          <w:rFonts w:hint="default" w:ascii="宋体" w:hAnsi="宋体" w:eastAsia="宋体" w:cs="Arial"/>
          <w:kern w:val="0"/>
          <w:sz w:val="24"/>
          <w:szCs w:val="24"/>
        </w:rPr>
        <w:t>1</w:t>
      </w:r>
      <w:r>
        <w:rPr>
          <w:rFonts w:hint="eastAsia" w:ascii="宋体" w:hAnsi="宋体" w:eastAsia="宋体" w:cs="Arial"/>
          <w:kern w:val="0"/>
          <w:sz w:val="24"/>
          <w:szCs w:val="24"/>
        </w:rPr>
        <w:t xml:space="preserve"> m处测量火灾报警声信号声压级，声压级</w:t>
      </w:r>
      <w:r>
        <w:rPr>
          <w:rFonts w:hint="eastAsia" w:ascii="宋体" w:hAnsi="宋体" w:eastAsia="宋体" w:cs="Arial"/>
          <w:kern w:val="0"/>
          <w:sz w:val="24"/>
          <w:szCs w:val="24"/>
          <w:lang w:val="en-US" w:eastAsia="zh-CN"/>
        </w:rPr>
        <w:t>应在</w:t>
      </w:r>
      <w:r>
        <w:rPr>
          <w:rFonts w:hint="default" w:ascii="宋体" w:hAnsi="宋体" w:eastAsia="宋体" w:cs="Arial"/>
          <w:kern w:val="0"/>
          <w:sz w:val="24"/>
          <w:szCs w:val="24"/>
        </w:rPr>
        <w:t>75</w:t>
      </w:r>
      <w:r>
        <w:rPr>
          <w:rFonts w:hint="eastAsia" w:ascii="宋体" w:hAnsi="宋体" w:eastAsia="宋体" w:cs="Arial"/>
          <w:kern w:val="0"/>
          <w:sz w:val="24"/>
          <w:szCs w:val="24"/>
        </w:rPr>
        <w:t xml:space="preserve"> dB（A计权）至105 dB（A计权）之间。</w:t>
      </w:r>
    </w:p>
    <w:p w14:paraId="7017B20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5.2.6</w:t>
      </w:r>
      <w:r>
        <w:rPr>
          <w:rFonts w:hint="eastAsia" w:ascii="宋体" w:hAnsi="宋体" w:eastAsia="宋体" w:cs="Arial"/>
          <w:kern w:val="0"/>
          <w:sz w:val="24"/>
          <w:szCs w:val="24"/>
        </w:rPr>
        <w:t>开关和按键</w:t>
      </w:r>
    </w:p>
    <w:p w14:paraId="4902A3F2">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开关和按键应在其上或靠近的位置清楚地标注出其功能。手动操作单元应设置启动按键、复位按键和消音按键，启动按键应设置防护罩，防止误操作。</w:t>
      </w:r>
    </w:p>
    <w:p w14:paraId="2339B6A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5.2.7</w:t>
      </w:r>
      <w:r>
        <w:rPr>
          <w:rFonts w:hint="eastAsia" w:ascii="宋体" w:hAnsi="宋体" w:eastAsia="宋体" w:cs="Arial"/>
          <w:kern w:val="0"/>
          <w:sz w:val="24"/>
          <w:szCs w:val="24"/>
        </w:rPr>
        <w:t>通信接口</w:t>
      </w:r>
    </w:p>
    <w:p w14:paraId="3FD74E0F">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控制显示单元应具有CAN通信接口，能够向电动客车的仪表盘传输火灾报警信息和故障报警信息。</w:t>
      </w:r>
    </w:p>
    <w:p w14:paraId="6982469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5.2.8</w:t>
      </w:r>
      <w:r>
        <w:rPr>
          <w:rFonts w:hint="eastAsia" w:ascii="宋体" w:hAnsi="宋体" w:eastAsia="宋体" w:cs="Arial"/>
          <w:kern w:val="0"/>
          <w:sz w:val="24"/>
          <w:szCs w:val="24"/>
        </w:rPr>
        <w:t>火灾报警功能</w:t>
      </w:r>
    </w:p>
    <w:p w14:paraId="3FBDC6D7">
      <w:pPr>
        <w:spacing w:line="360" w:lineRule="auto"/>
        <w:ind w:firstLine="480" w:firstLineChars="200"/>
        <w:rPr>
          <w:rFonts w:hint="default" w:ascii="宋体" w:hAnsi="宋体" w:eastAsia="宋体" w:cs="Arial"/>
          <w:kern w:val="0"/>
          <w:sz w:val="24"/>
          <w:szCs w:val="24"/>
        </w:rPr>
      </w:pPr>
      <w:bookmarkStart w:id="83" w:name="_Hlk148551469"/>
      <w:r>
        <w:rPr>
          <w:rFonts w:hint="eastAsia" w:ascii="宋体" w:hAnsi="宋体" w:eastAsia="宋体" w:cs="Arial"/>
          <w:kern w:val="0"/>
          <w:sz w:val="24"/>
          <w:szCs w:val="24"/>
        </w:rPr>
        <w:t>当探测单元的</w:t>
      </w:r>
      <w:bookmarkStart w:id="84" w:name="_Hlk149149026"/>
      <w:r>
        <w:rPr>
          <w:rFonts w:hint="eastAsia" w:ascii="宋体" w:hAnsi="宋体" w:eastAsia="宋体" w:cs="Arial"/>
          <w:kern w:val="0"/>
          <w:sz w:val="24"/>
          <w:szCs w:val="24"/>
        </w:rPr>
        <w:t>监视区域参数符合</w:t>
      </w:r>
      <w:bookmarkEnd w:id="83"/>
      <w:r>
        <w:rPr>
          <w:rFonts w:hint="eastAsia" w:ascii="宋体" w:hAnsi="宋体" w:eastAsia="宋体" w:cs="Arial"/>
          <w:kern w:val="0"/>
          <w:sz w:val="24"/>
          <w:szCs w:val="24"/>
        </w:rPr>
        <w:t>报警条件时</w:t>
      </w:r>
      <w:bookmarkEnd w:id="84"/>
      <w:r>
        <w:rPr>
          <w:rFonts w:hint="eastAsia" w:ascii="宋体" w:hAnsi="宋体" w:eastAsia="宋体" w:cs="Arial"/>
          <w:kern w:val="0"/>
          <w:sz w:val="24"/>
          <w:szCs w:val="24"/>
        </w:rPr>
        <w:t>，</w:t>
      </w:r>
      <w:bookmarkStart w:id="85" w:name="_Hlk149061713"/>
      <w:r>
        <w:rPr>
          <w:rFonts w:hint="eastAsia" w:ascii="宋体" w:hAnsi="宋体" w:eastAsia="宋体" w:cs="Arial"/>
          <w:kern w:val="0"/>
          <w:sz w:val="24"/>
          <w:szCs w:val="24"/>
        </w:rPr>
        <w:t>探测报警装置</w:t>
      </w:r>
      <w:bookmarkEnd w:id="85"/>
      <w:r>
        <w:rPr>
          <w:rFonts w:hint="eastAsia" w:ascii="宋体" w:hAnsi="宋体" w:eastAsia="宋体" w:cs="Arial"/>
          <w:kern w:val="0"/>
          <w:sz w:val="24"/>
          <w:szCs w:val="24"/>
        </w:rPr>
        <w:t>应发出火灾报警声、光信号，指示火灾发生部位及报警类别，显示并记录火灾报警时间，并予以保持，直至手动复位。复位后，监视区域参数符合报警条件时，探测报警装置应发出火灾报警声、光信号，指示火灾发生部位及报警类别，显示并记录火灾报警时间。</w:t>
      </w:r>
    </w:p>
    <w:p w14:paraId="51FC230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5.2.9</w:t>
      </w:r>
      <w:r>
        <w:rPr>
          <w:rFonts w:hint="eastAsia" w:ascii="宋体" w:hAnsi="宋体" w:eastAsia="宋体" w:cs="Arial"/>
          <w:kern w:val="0"/>
          <w:sz w:val="24"/>
          <w:szCs w:val="24"/>
        </w:rPr>
        <w:t>报警输出功能</w:t>
      </w:r>
    </w:p>
    <w:p w14:paraId="336A924C">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探测报警装置应具有报警输出接口。接口的类型和容量应与制造商规定的配接产品或执行部件相匹配，且应在使用说明书中注明。如探测报警装置的报警输出接口具有延时功能，其最大延时时间不应超过30 s。当探测报警装置连接外部设备时，与外部设备间连接线的断路、短路不应影响探测报警装置正常工作。</w:t>
      </w:r>
    </w:p>
    <w:p w14:paraId="7CE829D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5.2.10</w:t>
      </w:r>
      <w:r>
        <w:rPr>
          <w:rFonts w:hint="eastAsia" w:ascii="宋体" w:hAnsi="宋体" w:eastAsia="宋体" w:cs="Arial"/>
          <w:kern w:val="0"/>
          <w:sz w:val="24"/>
          <w:szCs w:val="24"/>
        </w:rPr>
        <w:t>故障报警功能</w:t>
      </w:r>
    </w:p>
    <w:p w14:paraId="30452A5E">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探测报警装置应具有故障报警功能，控制显示单元与探测单元间连接线断路、短路和影响报警功能的接地时，应能在100s内发出与火灾报警信号有明显区别的声、光报警信号。</w:t>
      </w:r>
    </w:p>
    <w:p w14:paraId="3F57EED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5.2.11</w:t>
      </w:r>
      <w:r>
        <w:rPr>
          <w:rFonts w:hint="eastAsia" w:ascii="宋体" w:hAnsi="宋体" w:eastAsia="宋体" w:cs="Arial"/>
          <w:kern w:val="0"/>
          <w:sz w:val="24"/>
          <w:szCs w:val="24"/>
        </w:rPr>
        <w:t>自检功能</w:t>
      </w:r>
    </w:p>
    <w:p w14:paraId="237BA0B5">
      <w:pPr>
        <w:spacing w:line="360" w:lineRule="auto"/>
        <w:ind w:firstLine="480" w:firstLineChars="200"/>
        <w:rPr>
          <w:rFonts w:hint="default" w:ascii="宋体" w:hAnsi="宋体" w:eastAsia="宋体" w:cs="Arial"/>
          <w:kern w:val="0"/>
          <w:sz w:val="24"/>
          <w:szCs w:val="24"/>
        </w:rPr>
      </w:pPr>
      <w:bookmarkStart w:id="86" w:name="_Hlk148552205"/>
      <w:r>
        <w:rPr>
          <w:rFonts w:hint="eastAsia" w:ascii="宋体" w:hAnsi="宋体" w:eastAsia="宋体" w:cs="Arial"/>
          <w:kern w:val="0"/>
          <w:sz w:val="24"/>
          <w:szCs w:val="24"/>
        </w:rPr>
        <w:t>探测报警装置</w:t>
      </w:r>
      <w:bookmarkEnd w:id="86"/>
      <w:r>
        <w:rPr>
          <w:rFonts w:hint="eastAsia" w:ascii="宋体" w:hAnsi="宋体" w:eastAsia="宋体" w:cs="Arial"/>
          <w:kern w:val="0"/>
          <w:sz w:val="24"/>
          <w:szCs w:val="24"/>
        </w:rPr>
        <w:t>应具有自检功能，自检时探测报警装置应能对其音响器件及指示灯进行功能检查，但不应输出火灾报警触发信号，与其相连的外部辅助设备不应动作。</w:t>
      </w:r>
    </w:p>
    <w:p w14:paraId="06B5BEDB">
      <w:pPr>
        <w:spacing w:line="360" w:lineRule="auto"/>
        <w:ind w:firstLine="480" w:firstLineChars="200"/>
        <w:rPr>
          <w:rFonts w:hint="eastAsia" w:ascii="宋体" w:hAnsi="宋体" w:eastAsia="宋体" w:cs="Arial"/>
          <w:kern w:val="0"/>
          <w:sz w:val="24"/>
          <w:szCs w:val="24"/>
        </w:rPr>
      </w:pPr>
      <w:r>
        <w:rPr>
          <w:rFonts w:hint="default" w:ascii="宋体" w:hAnsi="宋体" w:eastAsia="宋体" w:cs="Arial"/>
          <w:kern w:val="0"/>
          <w:sz w:val="24"/>
          <w:szCs w:val="24"/>
        </w:rPr>
        <w:t>5.2.12</w:t>
      </w:r>
      <w:r>
        <w:rPr>
          <w:rFonts w:hint="eastAsia" w:ascii="宋体" w:hAnsi="宋体" w:eastAsia="宋体" w:cs="Arial"/>
          <w:kern w:val="0"/>
          <w:sz w:val="24"/>
          <w:szCs w:val="24"/>
        </w:rPr>
        <w:t>信息存储功能</w:t>
      </w:r>
    </w:p>
    <w:p w14:paraId="2F7D0B9F">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探测报警装置应能存储不少于1</w:t>
      </w:r>
      <w:r>
        <w:rPr>
          <w:rFonts w:hint="default" w:ascii="宋体" w:hAnsi="宋体" w:eastAsia="宋体" w:cs="Arial"/>
          <w:kern w:val="0"/>
          <w:sz w:val="24"/>
          <w:szCs w:val="24"/>
        </w:rPr>
        <w:t>0</w:t>
      </w:r>
      <w:r>
        <w:rPr>
          <w:rFonts w:hint="eastAsia" w:ascii="宋体" w:hAnsi="宋体" w:eastAsia="宋体" w:cs="Arial"/>
          <w:kern w:val="0"/>
          <w:sz w:val="24"/>
          <w:szCs w:val="24"/>
        </w:rPr>
        <w:t>条的火灾报警和故障信息，每条信息应包含发生报警、故障的时间和部位。</w:t>
      </w:r>
    </w:p>
    <w:p w14:paraId="3871719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5.2.1</w:t>
      </w:r>
      <w:r>
        <w:rPr>
          <w:rFonts w:hint="eastAsia" w:ascii="宋体" w:hAnsi="宋体" w:eastAsia="宋体" w:cs="Arial"/>
          <w:kern w:val="0"/>
          <w:sz w:val="24"/>
          <w:szCs w:val="24"/>
          <w:lang w:val="en-US" w:eastAsia="zh-CN"/>
        </w:rPr>
        <w:t>3</w:t>
      </w:r>
      <w:r>
        <w:rPr>
          <w:rFonts w:hint="eastAsia" w:ascii="宋体" w:hAnsi="宋体" w:eastAsia="宋体" w:cs="Arial"/>
          <w:kern w:val="0"/>
          <w:sz w:val="24"/>
          <w:szCs w:val="24"/>
        </w:rPr>
        <w:t>性能要求</w:t>
      </w:r>
    </w:p>
    <w:p w14:paraId="64504492">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探测报警装置电气及环境可靠性、电磁兼容性能应符合附录B</w:t>
      </w:r>
      <w:r>
        <w:rPr>
          <w:rFonts w:hint="default" w:ascii="宋体" w:hAnsi="宋体" w:eastAsia="宋体" w:cs="Arial"/>
          <w:kern w:val="0"/>
          <w:sz w:val="24"/>
          <w:szCs w:val="24"/>
        </w:rPr>
        <w:t xml:space="preserve"> </w:t>
      </w:r>
      <w:r>
        <w:rPr>
          <w:rFonts w:hint="eastAsia" w:ascii="宋体" w:hAnsi="宋体" w:eastAsia="宋体" w:cs="Arial"/>
          <w:kern w:val="0"/>
          <w:sz w:val="24"/>
          <w:szCs w:val="24"/>
        </w:rPr>
        <w:t>中B</w:t>
      </w:r>
      <w:r>
        <w:rPr>
          <w:rFonts w:hint="default" w:ascii="宋体" w:hAnsi="宋体" w:eastAsia="宋体" w:cs="Arial"/>
          <w:kern w:val="0"/>
          <w:sz w:val="24"/>
          <w:szCs w:val="24"/>
        </w:rPr>
        <w:t>.2</w:t>
      </w:r>
      <w:r>
        <w:rPr>
          <w:rFonts w:hint="eastAsia" w:ascii="宋体" w:hAnsi="宋体" w:eastAsia="宋体" w:cs="Arial"/>
          <w:kern w:val="0"/>
          <w:sz w:val="24"/>
          <w:szCs w:val="24"/>
        </w:rPr>
        <w:t>要求。</w:t>
      </w:r>
    </w:p>
    <w:p w14:paraId="360CDA22">
      <w:pPr>
        <w:pStyle w:val="26"/>
        <w:numPr>
          <w:ilvl w:val="0"/>
          <w:numId w:val="4"/>
        </w:numPr>
        <w:spacing w:line="360" w:lineRule="auto"/>
        <w:ind w:firstLineChars="0"/>
        <w:jc w:val="left"/>
        <w:rPr>
          <w:rFonts w:hint="default" w:ascii="宋体" w:hAnsi="宋体" w:eastAsia="宋体"/>
          <w:b/>
          <w:bCs/>
          <w:sz w:val="24"/>
          <w:szCs w:val="24"/>
        </w:rPr>
      </w:pPr>
      <w:bookmarkStart w:id="87" w:name="_Toc151034681"/>
      <w:bookmarkEnd w:id="87"/>
      <w:bookmarkStart w:id="88" w:name="_Toc148968614"/>
      <w:bookmarkEnd w:id="88"/>
      <w:bookmarkStart w:id="89" w:name="_Toc151110998"/>
      <w:bookmarkEnd w:id="89"/>
      <w:bookmarkStart w:id="90" w:name="_Toc149557781"/>
      <w:bookmarkEnd w:id="90"/>
      <w:bookmarkStart w:id="91" w:name="_Toc148795414"/>
      <w:bookmarkEnd w:id="91"/>
      <w:bookmarkStart w:id="92" w:name="_Toc151110932"/>
      <w:bookmarkEnd w:id="92"/>
      <w:bookmarkStart w:id="93" w:name="_Toc151021114"/>
      <w:bookmarkEnd w:id="93"/>
      <w:bookmarkStart w:id="94" w:name="_Toc1134"/>
      <w:bookmarkStart w:id="95" w:name="_Toc151110999"/>
      <w:r>
        <w:rPr>
          <w:rFonts w:hint="eastAsia" w:ascii="宋体" w:hAnsi="宋体" w:eastAsia="宋体"/>
          <w:b/>
          <w:bCs/>
          <w:sz w:val="24"/>
          <w:szCs w:val="24"/>
        </w:rPr>
        <w:t>动力蓄电池火灾抑制系统</w:t>
      </w:r>
      <w:bookmarkEnd w:id="94"/>
      <w:bookmarkEnd w:id="95"/>
    </w:p>
    <w:p w14:paraId="0DBC5C80">
      <w:pPr>
        <w:spacing w:line="360" w:lineRule="auto"/>
        <w:ind w:firstLine="480" w:firstLineChars="200"/>
        <w:rPr>
          <w:rFonts w:hint="eastAsia" w:ascii="宋体" w:hAnsi="宋体" w:eastAsia="宋体" w:cs="Arial"/>
          <w:kern w:val="0"/>
          <w:sz w:val="24"/>
          <w:szCs w:val="24"/>
          <w:lang w:eastAsia="zh-CN"/>
        </w:rPr>
      </w:pPr>
      <w:r>
        <w:rPr>
          <w:rFonts w:hint="default" w:ascii="宋体" w:hAnsi="宋体" w:eastAsia="宋体" w:cs="Arial"/>
          <w:kern w:val="0"/>
          <w:sz w:val="24"/>
          <w:szCs w:val="24"/>
        </w:rPr>
        <w:t xml:space="preserve">5.3.1 </w:t>
      </w:r>
      <w:r>
        <w:rPr>
          <w:rFonts w:hint="eastAsia" w:ascii="宋体" w:hAnsi="宋体" w:eastAsia="宋体" w:cs="Arial"/>
          <w:kern w:val="0"/>
          <w:sz w:val="24"/>
          <w:szCs w:val="24"/>
        </w:rPr>
        <w:t>火灾抑制介质要求</w:t>
      </w:r>
    </w:p>
    <w:p w14:paraId="0C982A0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5.3.1.1  </w:t>
      </w:r>
      <w:r>
        <w:rPr>
          <w:rFonts w:hint="eastAsia" w:ascii="宋体" w:hAnsi="宋体" w:eastAsia="宋体" w:cs="Arial"/>
          <w:kern w:val="0"/>
          <w:sz w:val="24"/>
          <w:szCs w:val="24"/>
        </w:rPr>
        <w:t>抑制剂常温常压下宜为液态，低沸点、高比热容，具备快速吸热降温灭火能力，并实现持续抑制。</w:t>
      </w:r>
    </w:p>
    <w:p w14:paraId="2D727342">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lang w:val="en-US"/>
        </w:rPr>
        <w:t xml:space="preserve">5.3.1.2  </w:t>
      </w:r>
      <w:r>
        <w:rPr>
          <w:rFonts w:hint="eastAsia" w:ascii="宋体" w:hAnsi="宋体" w:eastAsia="宋体" w:cs="Arial"/>
          <w:kern w:val="0"/>
          <w:sz w:val="24"/>
          <w:szCs w:val="24"/>
          <w:lang w:val="en-US"/>
        </w:rPr>
        <w:t>抑制剂应不导电、喷射后无残留、无腐蚀性、不对锂电池以及相关辅件造成损害。</w:t>
      </w:r>
    </w:p>
    <w:p w14:paraId="525825B1">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lang w:val="en-US"/>
        </w:rPr>
        <w:t xml:space="preserve">5.3.1.3  </w:t>
      </w:r>
      <w:r>
        <w:rPr>
          <w:rFonts w:hint="eastAsia" w:ascii="宋体" w:hAnsi="宋体" w:eastAsia="宋体" w:cs="Arial"/>
          <w:kern w:val="0"/>
          <w:sz w:val="24"/>
          <w:szCs w:val="24"/>
          <w:lang w:val="en-US"/>
        </w:rPr>
        <w:t>抑制剂具有保护环境特性，建议大气存活时间不超过</w:t>
      </w:r>
      <w:r>
        <w:rPr>
          <w:rFonts w:hint="default" w:ascii="宋体" w:hAnsi="宋体" w:eastAsia="宋体" w:cs="Arial"/>
          <w:kern w:val="0"/>
          <w:sz w:val="24"/>
          <w:szCs w:val="24"/>
          <w:lang w:val="en-US"/>
        </w:rPr>
        <w:t>5</w:t>
      </w:r>
      <w:r>
        <w:rPr>
          <w:rFonts w:hint="eastAsia" w:ascii="宋体" w:hAnsi="宋体" w:eastAsia="宋体" w:cs="Arial"/>
          <w:kern w:val="0"/>
          <w:sz w:val="24"/>
          <w:szCs w:val="24"/>
          <w:lang w:val="en-US"/>
        </w:rPr>
        <w:t>天，臭氧消耗潜能值为</w:t>
      </w:r>
      <w:r>
        <w:rPr>
          <w:rFonts w:hint="default" w:ascii="宋体" w:hAnsi="宋体" w:eastAsia="宋体" w:cs="Arial"/>
          <w:kern w:val="0"/>
          <w:sz w:val="24"/>
          <w:szCs w:val="24"/>
          <w:lang w:val="en-US"/>
        </w:rPr>
        <w:t>0</w:t>
      </w:r>
      <w:r>
        <w:rPr>
          <w:rFonts w:hint="eastAsia" w:ascii="宋体" w:hAnsi="宋体" w:eastAsia="宋体" w:cs="Arial"/>
          <w:kern w:val="0"/>
          <w:sz w:val="24"/>
          <w:szCs w:val="24"/>
          <w:lang w:val="en-US"/>
        </w:rPr>
        <w:t>。</w:t>
      </w:r>
    </w:p>
    <w:p w14:paraId="403EDA75">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lang w:val="en-US"/>
        </w:rPr>
        <w:t xml:space="preserve">5.3.1.4 </w:t>
      </w:r>
      <w:r>
        <w:rPr>
          <w:rFonts w:hint="eastAsia" w:ascii="宋体" w:hAnsi="宋体" w:eastAsia="宋体" w:cs="Arial"/>
          <w:kern w:val="0"/>
          <w:sz w:val="24"/>
          <w:szCs w:val="24"/>
          <w:lang w:val="en-US"/>
        </w:rPr>
        <w:t>当不确定因素导致抑制介质误动作喷放时，不得对电池箱、电池及箱内附属部件产生损害作用。</w:t>
      </w:r>
    </w:p>
    <w:p w14:paraId="3E350E05">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lang w:val="en-US"/>
        </w:rPr>
        <w:t>5.3.1.5 火灾抑制介质喷放后，应易清理、易复原</w:t>
      </w:r>
      <w:r>
        <w:rPr>
          <w:rFonts w:hint="eastAsia" w:ascii="宋体" w:hAnsi="宋体" w:eastAsia="宋体" w:cs="Arial"/>
          <w:kern w:val="0"/>
          <w:sz w:val="24"/>
          <w:szCs w:val="24"/>
          <w:lang w:val="en-US"/>
        </w:rPr>
        <w:t>。</w:t>
      </w:r>
    </w:p>
    <w:p w14:paraId="6210189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5.3.2 材质要求</w:t>
      </w:r>
    </w:p>
    <w:p w14:paraId="199B66F4">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lang w:val="en-US"/>
        </w:rPr>
        <w:t>火灾</w:t>
      </w:r>
      <w:r>
        <w:rPr>
          <w:rFonts w:hint="eastAsia" w:ascii="宋体" w:hAnsi="宋体" w:eastAsia="宋体" w:cs="Arial"/>
          <w:kern w:val="0"/>
          <w:sz w:val="24"/>
          <w:szCs w:val="24"/>
          <w:lang w:val="en-US"/>
        </w:rPr>
        <w:t>抑制</w:t>
      </w:r>
      <w:r>
        <w:rPr>
          <w:rFonts w:hint="default" w:ascii="宋体" w:hAnsi="宋体" w:eastAsia="宋体" w:cs="Arial"/>
          <w:kern w:val="0"/>
          <w:sz w:val="24"/>
          <w:szCs w:val="24"/>
          <w:lang w:val="en-US"/>
        </w:rPr>
        <w:t>装置中与火灾抑制介质相接触的容器、阀门、垫圈、密封圈、密封剂及其阀门零件应与火灾抑制介质相容并且由与温度和压力相适应的材料制成。</w:t>
      </w:r>
    </w:p>
    <w:p w14:paraId="7570A5B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5.3.</w:t>
      </w:r>
      <w:r>
        <w:rPr>
          <w:rFonts w:hint="eastAsia" w:ascii="宋体" w:hAnsi="宋体" w:eastAsia="宋体" w:cs="Arial"/>
          <w:kern w:val="0"/>
          <w:sz w:val="24"/>
          <w:szCs w:val="24"/>
          <w:lang w:val="en-US" w:eastAsia="zh-CN"/>
        </w:rPr>
        <w:t>3</w:t>
      </w:r>
      <w:r>
        <w:rPr>
          <w:rFonts w:hint="default" w:ascii="宋体" w:hAnsi="宋体" w:eastAsia="宋体" w:cs="Arial"/>
          <w:kern w:val="0"/>
          <w:sz w:val="24"/>
          <w:szCs w:val="24"/>
        </w:rPr>
        <w:t xml:space="preserve"> </w:t>
      </w:r>
      <w:r>
        <w:rPr>
          <w:rFonts w:hint="eastAsia" w:ascii="宋体" w:hAnsi="宋体" w:eastAsia="宋体" w:cs="Arial"/>
          <w:kern w:val="0"/>
          <w:sz w:val="24"/>
          <w:szCs w:val="24"/>
        </w:rPr>
        <w:t>贮压式火灾抑制装置要求</w:t>
      </w:r>
    </w:p>
    <w:p w14:paraId="0EC15319">
      <w:pPr>
        <w:spacing w:line="360" w:lineRule="auto"/>
        <w:ind w:firstLine="480" w:firstLineChars="200"/>
        <w:rPr>
          <w:rFonts w:hint="default" w:ascii="宋体" w:hAnsi="宋体" w:eastAsia="宋体" w:cs="Arial"/>
          <w:kern w:val="0"/>
          <w:sz w:val="24"/>
          <w:szCs w:val="24"/>
          <w:lang w:val="zh-CN"/>
        </w:rPr>
      </w:pPr>
      <w:r>
        <w:rPr>
          <w:rFonts w:hint="eastAsia" w:ascii="宋体" w:hAnsi="宋体" w:eastAsia="宋体" w:cs="Arial"/>
          <w:kern w:val="0"/>
          <w:sz w:val="24"/>
          <w:szCs w:val="24"/>
          <w:lang w:val="zh-CN"/>
        </w:rPr>
        <w:t>贮压式火灾防控装置应按</w:t>
      </w:r>
      <w:r>
        <w:rPr>
          <w:rFonts w:hint="default" w:ascii="宋体" w:hAnsi="宋体" w:eastAsia="宋体" w:cs="Arial"/>
          <w:kern w:val="0"/>
          <w:sz w:val="24"/>
          <w:szCs w:val="24"/>
          <w:lang w:val="zh-CN"/>
        </w:rPr>
        <w:t xml:space="preserve"> GB</w:t>
      </w:r>
      <w:r>
        <w:rPr>
          <w:rFonts w:hint="eastAsia" w:ascii="宋体" w:hAnsi="宋体" w:eastAsia="宋体" w:cs="Arial"/>
          <w:kern w:val="0"/>
          <w:sz w:val="24"/>
          <w:szCs w:val="24"/>
          <w:lang w:val="en-US" w:eastAsia="zh-CN"/>
        </w:rPr>
        <w:t xml:space="preserve"> </w:t>
      </w:r>
      <w:r>
        <w:rPr>
          <w:rFonts w:hint="default" w:ascii="宋体" w:hAnsi="宋体" w:eastAsia="宋体" w:cs="Arial"/>
          <w:kern w:val="0"/>
          <w:sz w:val="24"/>
          <w:szCs w:val="24"/>
          <w:lang w:val="zh-CN"/>
        </w:rPr>
        <w:t xml:space="preserve">25972-2010 </w:t>
      </w:r>
      <w:r>
        <w:rPr>
          <w:rFonts w:hint="eastAsia" w:ascii="宋体" w:hAnsi="宋体" w:eastAsia="宋体" w:cs="Arial"/>
          <w:kern w:val="0"/>
          <w:sz w:val="24"/>
          <w:szCs w:val="24"/>
          <w:lang w:val="zh-CN"/>
        </w:rPr>
        <w:t>第</w:t>
      </w:r>
      <w:r>
        <w:rPr>
          <w:rFonts w:hint="default" w:ascii="宋体" w:hAnsi="宋体" w:eastAsia="宋体" w:cs="Arial"/>
          <w:kern w:val="0"/>
          <w:sz w:val="24"/>
          <w:szCs w:val="24"/>
          <w:lang w:val="zh-CN"/>
        </w:rPr>
        <w:t xml:space="preserve"> 5.2.5</w:t>
      </w:r>
      <w:r>
        <w:rPr>
          <w:rFonts w:hint="eastAsia" w:ascii="宋体" w:hAnsi="宋体" w:eastAsia="宋体" w:cs="Arial"/>
          <w:kern w:val="0"/>
          <w:sz w:val="24"/>
          <w:szCs w:val="24"/>
          <w:lang w:val="zh-CN"/>
        </w:rPr>
        <w:t>条的规定进行液压强度试验，试验压力为火灾防控装置最大工作压力</w:t>
      </w:r>
      <w:r>
        <w:rPr>
          <w:rFonts w:hint="default" w:ascii="宋体" w:hAnsi="宋体" w:eastAsia="宋体" w:cs="Arial"/>
          <w:kern w:val="0"/>
          <w:sz w:val="24"/>
          <w:szCs w:val="24"/>
          <w:lang w:val="zh-CN"/>
        </w:rPr>
        <w:t>(</w:t>
      </w:r>
      <w:r>
        <w:rPr>
          <w:rFonts w:hint="eastAsia" w:ascii="宋体" w:hAnsi="宋体" w:eastAsia="宋体" w:cs="Arial"/>
          <w:kern w:val="0"/>
          <w:sz w:val="24"/>
          <w:szCs w:val="24"/>
          <w:lang w:val="zh-CN"/>
        </w:rPr>
        <w:t>应不超过</w:t>
      </w:r>
      <w:r>
        <w:rPr>
          <w:rFonts w:hint="default" w:ascii="宋体" w:hAnsi="宋体" w:eastAsia="宋体" w:cs="Arial"/>
          <w:kern w:val="0"/>
          <w:sz w:val="24"/>
          <w:szCs w:val="24"/>
          <w:lang w:val="zh-CN"/>
        </w:rPr>
        <w:t xml:space="preserve"> 10MPa)</w:t>
      </w:r>
      <w:r>
        <w:rPr>
          <w:rFonts w:hint="eastAsia" w:ascii="宋体" w:hAnsi="宋体" w:eastAsia="宋体" w:cs="Arial"/>
          <w:kern w:val="0"/>
          <w:sz w:val="24"/>
          <w:szCs w:val="24"/>
          <w:lang w:val="zh-CN"/>
        </w:rPr>
        <w:t>的</w:t>
      </w:r>
      <w:r>
        <w:rPr>
          <w:rFonts w:hint="default" w:ascii="宋体" w:hAnsi="宋体" w:eastAsia="宋体" w:cs="Arial"/>
          <w:kern w:val="0"/>
          <w:sz w:val="24"/>
          <w:szCs w:val="24"/>
          <w:lang w:val="zh-CN"/>
        </w:rPr>
        <w:t xml:space="preserve"> 1.5</w:t>
      </w:r>
      <w:r>
        <w:rPr>
          <w:rFonts w:hint="eastAsia" w:ascii="宋体" w:hAnsi="宋体" w:eastAsia="宋体" w:cs="Arial"/>
          <w:kern w:val="0"/>
          <w:sz w:val="24"/>
          <w:szCs w:val="24"/>
          <w:lang w:val="zh-CN"/>
        </w:rPr>
        <w:t>倍，压力保持时间为</w:t>
      </w:r>
      <w:r>
        <w:rPr>
          <w:rFonts w:hint="default" w:ascii="宋体" w:hAnsi="宋体" w:eastAsia="宋体" w:cs="Arial"/>
          <w:kern w:val="0"/>
          <w:sz w:val="24"/>
          <w:szCs w:val="24"/>
          <w:lang w:val="zh-CN"/>
        </w:rPr>
        <w:t xml:space="preserve"> 5min</w:t>
      </w:r>
      <w:r>
        <w:rPr>
          <w:rFonts w:hint="eastAsia" w:ascii="宋体" w:hAnsi="宋体" w:eastAsia="宋体" w:cs="Arial"/>
          <w:kern w:val="0"/>
          <w:sz w:val="24"/>
          <w:szCs w:val="24"/>
          <w:lang w:val="zh-CN"/>
        </w:rPr>
        <w:t>，试验后各部件应无渗漏现象。</w:t>
      </w:r>
    </w:p>
    <w:p w14:paraId="5287F95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4</w:t>
      </w:r>
      <w:r>
        <w:rPr>
          <w:rFonts w:hint="default" w:ascii="宋体" w:hAnsi="宋体" w:eastAsia="宋体" w:cs="Arial"/>
          <w:kern w:val="0"/>
          <w:sz w:val="24"/>
          <w:szCs w:val="24"/>
        </w:rPr>
        <w:t xml:space="preserve"> 火灾抑制介质喷放要求</w:t>
      </w:r>
    </w:p>
    <w:p w14:paraId="7DB3CEE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4</w:t>
      </w:r>
      <w:r>
        <w:rPr>
          <w:rFonts w:hint="default" w:ascii="宋体" w:hAnsi="宋体" w:eastAsia="宋体" w:cs="Arial"/>
          <w:kern w:val="0"/>
          <w:sz w:val="24"/>
          <w:szCs w:val="24"/>
          <w:lang w:val="en-US"/>
        </w:rPr>
        <w:t>.1</w:t>
      </w:r>
      <w:r>
        <w:rPr>
          <w:rFonts w:hint="default" w:ascii="宋体" w:hAnsi="宋体" w:eastAsia="宋体" w:cs="Arial"/>
          <w:kern w:val="0"/>
          <w:sz w:val="24"/>
          <w:szCs w:val="24"/>
        </w:rPr>
        <w:t>当电池或电池组表面温度（或温度场方式测定的等效温度） 达到80 ℃±5 ℃时，应在0~10s内应能通过手动和/或自动方式喷放火灾抑制介质。</w:t>
      </w:r>
    </w:p>
    <w:p w14:paraId="4DBD83E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4</w:t>
      </w:r>
      <w:r>
        <w:rPr>
          <w:rFonts w:hint="default" w:ascii="宋体" w:hAnsi="宋体" w:eastAsia="宋体" w:cs="Arial"/>
          <w:kern w:val="0"/>
          <w:sz w:val="24"/>
          <w:szCs w:val="24"/>
          <w:lang w:val="en-US"/>
        </w:rPr>
        <w:t>.2</w:t>
      </w:r>
      <w:r>
        <w:rPr>
          <w:rFonts w:hint="default" w:ascii="宋体" w:hAnsi="宋体" w:eastAsia="宋体" w:cs="Arial"/>
          <w:kern w:val="0"/>
          <w:sz w:val="24"/>
          <w:szCs w:val="24"/>
        </w:rPr>
        <w:t xml:space="preserve"> 采用电池管理系统（BMS） 相关数据作为火灾抑制介质喷放依据的，应符合上述要求。</w:t>
      </w:r>
    </w:p>
    <w:p w14:paraId="0F20C0F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4</w:t>
      </w:r>
      <w:r>
        <w:rPr>
          <w:rFonts w:hint="default" w:ascii="宋体" w:hAnsi="宋体" w:eastAsia="宋体" w:cs="Arial"/>
          <w:kern w:val="0"/>
          <w:sz w:val="24"/>
          <w:szCs w:val="24"/>
          <w:lang w:val="en-US"/>
        </w:rPr>
        <w:t xml:space="preserve">.3 </w:t>
      </w:r>
      <w:r>
        <w:rPr>
          <w:rFonts w:hint="default" w:ascii="宋体" w:hAnsi="宋体" w:eastAsia="宋体" w:cs="Arial"/>
          <w:kern w:val="0"/>
          <w:sz w:val="24"/>
          <w:szCs w:val="24"/>
        </w:rPr>
        <w:t>采用其他探测形式控制火灾抑制介质喷放的，应经第三方测试验证，并确定有关技术要求。</w:t>
      </w:r>
    </w:p>
    <w:p w14:paraId="1C4A7FE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5</w:t>
      </w:r>
      <w:r>
        <w:rPr>
          <w:rFonts w:hint="default" w:ascii="宋体" w:hAnsi="宋体" w:eastAsia="宋体" w:cs="Arial"/>
          <w:kern w:val="0"/>
          <w:sz w:val="24"/>
          <w:szCs w:val="24"/>
          <w:lang w:val="en-US"/>
        </w:rPr>
        <w:t xml:space="preserve"> </w:t>
      </w:r>
      <w:r>
        <w:rPr>
          <w:rFonts w:hint="default" w:ascii="宋体" w:hAnsi="宋体" w:eastAsia="宋体" w:cs="Arial"/>
          <w:kern w:val="0"/>
          <w:sz w:val="24"/>
          <w:szCs w:val="24"/>
        </w:rPr>
        <w:t>数据信息管理与控制功能</w:t>
      </w:r>
    </w:p>
    <w:p w14:paraId="3620D17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5</w:t>
      </w:r>
      <w:r>
        <w:rPr>
          <w:rFonts w:hint="default" w:ascii="宋体" w:hAnsi="宋体" w:eastAsia="宋体" w:cs="Arial"/>
          <w:kern w:val="0"/>
          <w:sz w:val="24"/>
          <w:szCs w:val="24"/>
          <w:lang w:val="en-US"/>
        </w:rPr>
        <w:t xml:space="preserve">.1 </w:t>
      </w:r>
      <w:r>
        <w:rPr>
          <w:rFonts w:hint="default" w:ascii="宋体" w:hAnsi="宋体" w:eastAsia="宋体" w:cs="Arial"/>
          <w:kern w:val="0"/>
          <w:sz w:val="24"/>
          <w:szCs w:val="24"/>
        </w:rPr>
        <w:t>火灾</w:t>
      </w:r>
      <w:r>
        <w:rPr>
          <w:rFonts w:hint="eastAsia" w:ascii="宋体" w:hAnsi="宋体" w:eastAsia="宋体" w:cs="Arial"/>
          <w:kern w:val="0"/>
          <w:sz w:val="24"/>
          <w:szCs w:val="24"/>
        </w:rPr>
        <w:t>抑制</w:t>
      </w:r>
      <w:r>
        <w:rPr>
          <w:rFonts w:hint="default" w:ascii="宋体" w:hAnsi="宋体" w:eastAsia="宋体" w:cs="Arial"/>
          <w:kern w:val="0"/>
          <w:sz w:val="24"/>
          <w:szCs w:val="24"/>
        </w:rPr>
        <w:t>装置应具有数据信息储存、传输、反馈及自动/手动控制功能。</w:t>
      </w:r>
    </w:p>
    <w:p w14:paraId="75BCF12D">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5</w:t>
      </w:r>
      <w:r>
        <w:rPr>
          <w:rFonts w:hint="default" w:ascii="宋体" w:hAnsi="宋体" w:eastAsia="宋体" w:cs="Arial"/>
          <w:kern w:val="0"/>
          <w:sz w:val="24"/>
          <w:szCs w:val="24"/>
          <w:lang w:val="en-US"/>
        </w:rPr>
        <w:t xml:space="preserve">.2 </w:t>
      </w:r>
      <w:r>
        <w:rPr>
          <w:rFonts w:hint="default" w:ascii="宋体" w:hAnsi="宋体" w:eastAsia="宋体" w:cs="Arial"/>
          <w:kern w:val="0"/>
          <w:sz w:val="24"/>
          <w:szCs w:val="24"/>
        </w:rPr>
        <w:t>火灾</w:t>
      </w:r>
      <w:r>
        <w:rPr>
          <w:rFonts w:hint="eastAsia" w:ascii="宋体" w:hAnsi="宋体" w:eastAsia="宋体" w:cs="Arial"/>
          <w:kern w:val="0"/>
          <w:sz w:val="24"/>
          <w:szCs w:val="24"/>
        </w:rPr>
        <w:t>抑制</w:t>
      </w:r>
      <w:r>
        <w:rPr>
          <w:rFonts w:hint="default" w:ascii="宋体" w:hAnsi="宋体" w:eastAsia="宋体" w:cs="Arial"/>
          <w:kern w:val="0"/>
          <w:sz w:val="24"/>
          <w:szCs w:val="24"/>
        </w:rPr>
        <w:t>装置的数据信息管理与控制功能，以及部件、设备、软件的可靠性、安全性，应具备第三方合格证明文件。</w:t>
      </w:r>
    </w:p>
    <w:p w14:paraId="7CA34C4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5.3.</w:t>
      </w:r>
      <w:r>
        <w:rPr>
          <w:rFonts w:hint="eastAsia" w:ascii="宋体" w:hAnsi="宋体" w:eastAsia="宋体" w:cs="Arial"/>
          <w:kern w:val="0"/>
          <w:sz w:val="24"/>
          <w:szCs w:val="24"/>
          <w:lang w:val="en-US" w:eastAsia="zh-CN"/>
        </w:rPr>
        <w:t>6</w:t>
      </w:r>
      <w:r>
        <w:rPr>
          <w:rFonts w:hint="default" w:ascii="宋体" w:hAnsi="宋体" w:eastAsia="宋体" w:cs="Arial"/>
          <w:kern w:val="0"/>
          <w:sz w:val="24"/>
          <w:szCs w:val="24"/>
          <w:lang w:val="en-US"/>
        </w:rPr>
        <w:t xml:space="preserve"> </w:t>
      </w:r>
      <w:r>
        <w:rPr>
          <w:rFonts w:hint="eastAsia" w:ascii="宋体" w:hAnsi="宋体" w:eastAsia="宋体" w:cs="Arial"/>
          <w:kern w:val="0"/>
          <w:sz w:val="24"/>
          <w:szCs w:val="24"/>
          <w:lang w:val="en-US"/>
        </w:rPr>
        <w:t>密封要求</w:t>
      </w:r>
    </w:p>
    <w:p w14:paraId="31BBE965">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按</w:t>
      </w:r>
      <w:r>
        <w:rPr>
          <w:rFonts w:hint="default" w:ascii="宋体" w:hAnsi="宋体" w:eastAsia="宋体" w:cs="Arial"/>
          <w:kern w:val="0"/>
          <w:sz w:val="24"/>
          <w:szCs w:val="24"/>
        </w:rPr>
        <w:t>GB 25972-2010</w:t>
      </w:r>
      <w:r>
        <w:rPr>
          <w:rFonts w:hint="eastAsia" w:ascii="宋体" w:hAnsi="宋体" w:eastAsia="宋体" w:cs="Arial"/>
          <w:kern w:val="0"/>
          <w:sz w:val="24"/>
          <w:szCs w:val="24"/>
        </w:rPr>
        <w:t>规定的相关方法进行试验，试验后火灾抑制装置应无气泡泄漏。试验压力为装置最大工作压力，压力保持时间</w:t>
      </w:r>
      <w:r>
        <w:rPr>
          <w:rFonts w:hint="default" w:ascii="宋体" w:hAnsi="宋体" w:eastAsia="宋体" w:cs="Arial"/>
          <w:kern w:val="0"/>
          <w:sz w:val="24"/>
          <w:szCs w:val="24"/>
        </w:rPr>
        <w:t>5 min</w:t>
      </w:r>
      <w:r>
        <w:rPr>
          <w:rFonts w:hint="eastAsia" w:ascii="宋体" w:hAnsi="宋体" w:eastAsia="宋体" w:cs="Arial"/>
          <w:kern w:val="0"/>
          <w:sz w:val="24"/>
          <w:szCs w:val="24"/>
        </w:rPr>
        <w:t>。</w:t>
      </w:r>
    </w:p>
    <w:p w14:paraId="1BD069B5">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本条款不适用于非贮压式装置。</w:t>
      </w:r>
    </w:p>
    <w:p w14:paraId="193E806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5.3.</w:t>
      </w:r>
      <w:r>
        <w:rPr>
          <w:rFonts w:hint="eastAsia" w:ascii="宋体" w:hAnsi="宋体" w:eastAsia="宋体" w:cs="Arial"/>
          <w:kern w:val="0"/>
          <w:sz w:val="24"/>
          <w:szCs w:val="24"/>
          <w:lang w:val="en-US" w:eastAsia="zh-CN"/>
        </w:rPr>
        <w:t>7</w:t>
      </w:r>
      <w:r>
        <w:rPr>
          <w:rFonts w:hint="eastAsia" w:ascii="宋体" w:hAnsi="宋体" w:eastAsia="宋体" w:cs="Arial"/>
          <w:kern w:val="0"/>
          <w:sz w:val="24"/>
          <w:szCs w:val="24"/>
        </w:rPr>
        <w:t>性能要求</w:t>
      </w:r>
    </w:p>
    <w:p w14:paraId="278FEDD7">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火灾抑制装置电气及环境可靠性、电磁兼容性能应符合附录B</w:t>
      </w:r>
      <w:r>
        <w:rPr>
          <w:rFonts w:hint="default" w:ascii="宋体" w:hAnsi="宋体" w:eastAsia="宋体" w:cs="Arial"/>
          <w:kern w:val="0"/>
          <w:sz w:val="24"/>
          <w:szCs w:val="24"/>
        </w:rPr>
        <w:t xml:space="preserve"> </w:t>
      </w:r>
      <w:r>
        <w:rPr>
          <w:rFonts w:hint="eastAsia" w:ascii="宋体" w:hAnsi="宋体" w:eastAsia="宋体" w:cs="Arial"/>
          <w:kern w:val="0"/>
          <w:sz w:val="24"/>
          <w:szCs w:val="24"/>
        </w:rPr>
        <w:t>中B</w:t>
      </w:r>
      <w:r>
        <w:rPr>
          <w:rFonts w:hint="default" w:ascii="宋体" w:hAnsi="宋体" w:eastAsia="宋体" w:cs="Arial"/>
          <w:kern w:val="0"/>
          <w:sz w:val="24"/>
          <w:szCs w:val="24"/>
        </w:rPr>
        <w:t>.2</w:t>
      </w:r>
      <w:r>
        <w:rPr>
          <w:rFonts w:hint="eastAsia" w:ascii="宋体" w:hAnsi="宋体" w:eastAsia="宋体" w:cs="Arial"/>
          <w:kern w:val="0"/>
          <w:sz w:val="24"/>
          <w:szCs w:val="24"/>
        </w:rPr>
        <w:t>要求。</w:t>
      </w:r>
    </w:p>
    <w:p w14:paraId="293E1A83">
      <w:pPr>
        <w:pStyle w:val="26"/>
        <w:numPr>
          <w:ilvl w:val="0"/>
          <w:numId w:val="4"/>
        </w:numPr>
        <w:spacing w:line="360" w:lineRule="auto"/>
        <w:ind w:firstLineChars="0"/>
        <w:jc w:val="left"/>
        <w:rPr>
          <w:rFonts w:hint="default" w:ascii="宋体" w:hAnsi="宋体" w:eastAsia="宋体"/>
          <w:b/>
          <w:bCs/>
          <w:sz w:val="24"/>
          <w:szCs w:val="24"/>
        </w:rPr>
      </w:pPr>
      <w:bookmarkStart w:id="96" w:name="_Toc29566"/>
      <w:bookmarkStart w:id="97" w:name="_Toc151111000"/>
      <w:r>
        <w:rPr>
          <w:rFonts w:hint="eastAsia" w:ascii="宋体" w:hAnsi="宋体" w:eastAsia="宋体"/>
          <w:b/>
          <w:bCs/>
          <w:sz w:val="24"/>
          <w:szCs w:val="24"/>
        </w:rPr>
        <w:t>平台通信系统</w:t>
      </w:r>
      <w:bookmarkEnd w:id="96"/>
      <w:bookmarkEnd w:id="97"/>
    </w:p>
    <w:p w14:paraId="14DC1E5D">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5.4.1 </w:t>
      </w:r>
      <w:r>
        <w:rPr>
          <w:rFonts w:hint="eastAsia" w:ascii="宋体" w:hAnsi="宋体" w:eastAsia="宋体" w:cs="Arial"/>
          <w:kern w:val="0"/>
          <w:sz w:val="24"/>
          <w:szCs w:val="24"/>
        </w:rPr>
        <w:t>单元加密应按照</w:t>
      </w:r>
      <w:r>
        <w:rPr>
          <w:rFonts w:hint="default" w:ascii="宋体" w:hAnsi="宋体" w:eastAsia="宋体" w:cs="Arial"/>
          <w:kern w:val="0"/>
          <w:sz w:val="24"/>
          <w:szCs w:val="24"/>
        </w:rPr>
        <w:t>GB/T 32960.3</w:t>
      </w:r>
      <w:r>
        <w:rPr>
          <w:rFonts w:hint="eastAsia" w:ascii="宋体" w:hAnsi="宋体" w:eastAsia="宋体" w:cs="Arial"/>
          <w:kern w:val="0"/>
          <w:sz w:val="24"/>
          <w:szCs w:val="24"/>
        </w:rPr>
        <w:t>—</w:t>
      </w:r>
      <w:r>
        <w:rPr>
          <w:rFonts w:hint="default" w:ascii="宋体" w:hAnsi="宋体" w:eastAsia="宋体" w:cs="Arial"/>
          <w:kern w:val="0"/>
          <w:sz w:val="24"/>
          <w:szCs w:val="24"/>
        </w:rPr>
        <w:t xml:space="preserve">2016 </w:t>
      </w:r>
      <w:r>
        <w:rPr>
          <w:rFonts w:hint="eastAsia" w:ascii="宋体" w:hAnsi="宋体" w:eastAsia="宋体" w:cs="Arial"/>
          <w:kern w:val="0"/>
          <w:sz w:val="24"/>
          <w:szCs w:val="24"/>
        </w:rPr>
        <w:t>中</w:t>
      </w:r>
      <w:r>
        <w:rPr>
          <w:rFonts w:hint="default" w:ascii="宋体" w:hAnsi="宋体" w:eastAsia="宋体" w:cs="Arial"/>
          <w:kern w:val="0"/>
          <w:sz w:val="24"/>
          <w:szCs w:val="24"/>
        </w:rPr>
        <w:t>7.2</w:t>
      </w:r>
      <w:r>
        <w:rPr>
          <w:rFonts w:hint="eastAsia" w:ascii="宋体" w:hAnsi="宋体" w:eastAsia="宋体" w:cs="Arial"/>
          <w:kern w:val="0"/>
          <w:sz w:val="24"/>
          <w:szCs w:val="24"/>
        </w:rPr>
        <w:t>实时信息上报数据，加密要求如下</w:t>
      </w:r>
      <w:r>
        <w:rPr>
          <w:rFonts w:hint="default" w:ascii="宋体" w:hAnsi="宋体" w:eastAsia="宋体" w:cs="Arial"/>
          <w:kern w:val="0"/>
          <w:sz w:val="24"/>
          <w:szCs w:val="24"/>
        </w:rPr>
        <w:t>:</w:t>
      </w:r>
    </w:p>
    <w:p w14:paraId="2E8A7B4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a)</w:t>
      </w:r>
      <w:r>
        <w:rPr>
          <w:rFonts w:hint="eastAsia" w:ascii="宋体" w:hAnsi="宋体" w:eastAsia="宋体" w:cs="Arial"/>
          <w:kern w:val="0"/>
          <w:sz w:val="24"/>
          <w:szCs w:val="24"/>
        </w:rPr>
        <w:t>数据单元加密方式应采用</w:t>
      </w:r>
      <w:r>
        <w:rPr>
          <w:rFonts w:hint="default" w:ascii="宋体" w:hAnsi="宋体" w:eastAsia="宋体" w:cs="Arial"/>
          <w:kern w:val="0"/>
          <w:sz w:val="24"/>
          <w:szCs w:val="24"/>
        </w:rPr>
        <w:t xml:space="preserve"> SM4</w:t>
      </w:r>
      <w:r>
        <w:rPr>
          <w:rFonts w:hint="eastAsia" w:ascii="宋体" w:hAnsi="宋体" w:eastAsia="宋体" w:cs="Arial"/>
          <w:kern w:val="0"/>
          <w:sz w:val="24"/>
          <w:szCs w:val="24"/>
        </w:rPr>
        <w:t>、密钥长度不低于</w:t>
      </w:r>
      <w:r>
        <w:rPr>
          <w:rFonts w:hint="default" w:ascii="宋体" w:hAnsi="宋体" w:eastAsia="宋体" w:cs="Arial"/>
          <w:kern w:val="0"/>
          <w:sz w:val="24"/>
          <w:szCs w:val="24"/>
        </w:rPr>
        <w:t xml:space="preserve"> 128 </w:t>
      </w:r>
      <w:r>
        <w:rPr>
          <w:rFonts w:hint="eastAsia" w:ascii="宋体" w:hAnsi="宋体" w:eastAsia="宋体" w:cs="Arial"/>
          <w:kern w:val="0"/>
          <w:sz w:val="24"/>
          <w:szCs w:val="24"/>
        </w:rPr>
        <w:t>位的</w:t>
      </w:r>
      <w:r>
        <w:rPr>
          <w:rFonts w:hint="default" w:ascii="宋体" w:hAnsi="宋体" w:eastAsia="宋体" w:cs="Arial"/>
          <w:kern w:val="0"/>
          <w:sz w:val="24"/>
          <w:szCs w:val="24"/>
        </w:rPr>
        <w:t xml:space="preserve"> AES </w:t>
      </w:r>
      <w:r>
        <w:rPr>
          <w:rFonts w:hint="eastAsia" w:ascii="宋体" w:hAnsi="宋体" w:eastAsia="宋体" w:cs="Arial"/>
          <w:kern w:val="0"/>
          <w:sz w:val="24"/>
          <w:szCs w:val="24"/>
        </w:rPr>
        <w:t>或其他同级别以及更高级的密码算法</w:t>
      </w:r>
      <w:r>
        <w:rPr>
          <w:rFonts w:hint="default" w:ascii="宋体" w:hAnsi="宋体" w:eastAsia="宋体" w:cs="Arial"/>
          <w:kern w:val="0"/>
          <w:sz w:val="24"/>
          <w:szCs w:val="24"/>
        </w:rPr>
        <w:t>;</w:t>
      </w:r>
    </w:p>
    <w:p w14:paraId="2CEB2C3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b)</w:t>
      </w:r>
      <w:r>
        <w:rPr>
          <w:rFonts w:hint="eastAsia" w:ascii="宋体" w:hAnsi="宋体" w:eastAsia="宋体" w:cs="Arial"/>
          <w:kern w:val="0"/>
          <w:sz w:val="24"/>
          <w:szCs w:val="24"/>
        </w:rPr>
        <w:t>加密数据单元的密钥应与安全通信协议所使用的密钥不同。</w:t>
      </w:r>
    </w:p>
    <w:p w14:paraId="21175FE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5.4.2  </w:t>
      </w:r>
      <w:r>
        <w:rPr>
          <w:rFonts w:hint="eastAsia" w:ascii="宋体" w:hAnsi="宋体" w:eastAsia="宋体" w:cs="Arial"/>
          <w:kern w:val="0"/>
          <w:sz w:val="24"/>
          <w:szCs w:val="24"/>
        </w:rPr>
        <w:t>安全通信协议要求</w:t>
      </w:r>
      <w:r>
        <w:rPr>
          <w:rFonts w:hint="default" w:ascii="宋体" w:hAnsi="宋体" w:eastAsia="宋体" w:cs="Arial"/>
          <w:kern w:val="0"/>
          <w:sz w:val="24"/>
          <w:szCs w:val="24"/>
        </w:rPr>
        <w:tab/>
      </w:r>
    </w:p>
    <w:p w14:paraId="32E5001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a)</w:t>
      </w:r>
      <w:r>
        <w:rPr>
          <w:rFonts w:hint="eastAsia" w:ascii="宋体" w:hAnsi="宋体" w:eastAsia="宋体" w:cs="Arial"/>
          <w:kern w:val="0"/>
          <w:sz w:val="24"/>
          <w:szCs w:val="24"/>
        </w:rPr>
        <w:t>应使用</w:t>
      </w:r>
      <w:r>
        <w:rPr>
          <w:rFonts w:hint="default" w:ascii="宋体" w:hAnsi="宋体" w:eastAsia="宋体" w:cs="Arial"/>
          <w:kern w:val="0"/>
          <w:sz w:val="24"/>
          <w:szCs w:val="24"/>
        </w:rPr>
        <w:t xml:space="preserve"> TLS 1.2 </w:t>
      </w:r>
      <w:r>
        <w:rPr>
          <w:rFonts w:hint="eastAsia" w:ascii="宋体" w:hAnsi="宋体" w:eastAsia="宋体" w:cs="Arial"/>
          <w:kern w:val="0"/>
          <w:sz w:val="24"/>
          <w:szCs w:val="24"/>
        </w:rPr>
        <w:t>或以上版本；</w:t>
      </w:r>
    </w:p>
    <w:p w14:paraId="15E5DC8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b) </w:t>
      </w:r>
      <w:r>
        <w:rPr>
          <w:rFonts w:hint="eastAsia" w:ascii="宋体" w:hAnsi="宋体" w:eastAsia="宋体" w:cs="Arial"/>
          <w:kern w:val="0"/>
          <w:sz w:val="24"/>
          <w:szCs w:val="24"/>
        </w:rPr>
        <w:t>应不允许降级，例如降到</w:t>
      </w:r>
      <w:r>
        <w:rPr>
          <w:rFonts w:hint="default" w:ascii="宋体" w:hAnsi="宋体" w:eastAsia="宋体" w:cs="Arial"/>
          <w:kern w:val="0"/>
          <w:sz w:val="24"/>
          <w:szCs w:val="24"/>
        </w:rPr>
        <w:t xml:space="preserve"> TLS 1.1</w:t>
      </w:r>
      <w:r>
        <w:rPr>
          <w:rFonts w:hint="eastAsia" w:ascii="宋体" w:hAnsi="宋体" w:eastAsia="宋体" w:cs="Arial"/>
          <w:kern w:val="0"/>
          <w:sz w:val="24"/>
          <w:szCs w:val="24"/>
        </w:rPr>
        <w:t>、</w:t>
      </w:r>
      <w:r>
        <w:rPr>
          <w:rFonts w:hint="default" w:ascii="宋体" w:hAnsi="宋体" w:eastAsia="宋体" w:cs="Arial"/>
          <w:kern w:val="0"/>
          <w:sz w:val="24"/>
          <w:szCs w:val="24"/>
        </w:rPr>
        <w:t xml:space="preserve">TLS 1.0 </w:t>
      </w:r>
      <w:r>
        <w:rPr>
          <w:rFonts w:hint="eastAsia" w:ascii="宋体" w:hAnsi="宋体" w:eastAsia="宋体" w:cs="Arial"/>
          <w:kern w:val="0"/>
          <w:sz w:val="24"/>
          <w:szCs w:val="24"/>
        </w:rPr>
        <w:t>或</w:t>
      </w:r>
      <w:r>
        <w:rPr>
          <w:rFonts w:hint="default" w:ascii="宋体" w:hAnsi="宋体" w:eastAsia="宋体" w:cs="Arial"/>
          <w:kern w:val="0"/>
          <w:sz w:val="24"/>
          <w:szCs w:val="24"/>
        </w:rPr>
        <w:t xml:space="preserve"> SSL 3.0</w:t>
      </w:r>
      <w:r>
        <w:rPr>
          <w:rFonts w:hint="eastAsia" w:ascii="宋体" w:hAnsi="宋体" w:eastAsia="宋体" w:cs="Arial"/>
          <w:kern w:val="0"/>
          <w:sz w:val="24"/>
          <w:szCs w:val="24"/>
        </w:rPr>
        <w:t>、</w:t>
      </w:r>
      <w:r>
        <w:rPr>
          <w:rFonts w:hint="default" w:ascii="宋体" w:hAnsi="宋体" w:eastAsia="宋体" w:cs="Arial"/>
          <w:kern w:val="0"/>
          <w:sz w:val="24"/>
          <w:szCs w:val="24"/>
        </w:rPr>
        <w:t>SSL2.0</w:t>
      </w:r>
      <w:r>
        <w:rPr>
          <w:rFonts w:hint="eastAsia" w:ascii="宋体" w:hAnsi="宋体" w:eastAsia="宋体" w:cs="Arial"/>
          <w:kern w:val="0"/>
          <w:sz w:val="24"/>
          <w:szCs w:val="24"/>
        </w:rPr>
        <w:t>；</w:t>
      </w:r>
    </w:p>
    <w:p w14:paraId="5EB2CE36">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c)</w:t>
      </w:r>
      <w:r>
        <w:rPr>
          <w:rFonts w:hint="eastAsia" w:ascii="宋体" w:hAnsi="宋体" w:eastAsia="宋体" w:cs="Arial"/>
          <w:kern w:val="0"/>
          <w:sz w:val="24"/>
          <w:szCs w:val="24"/>
        </w:rPr>
        <w:t>应禁用</w:t>
      </w:r>
      <w:r>
        <w:rPr>
          <w:rFonts w:hint="default" w:ascii="宋体" w:hAnsi="宋体" w:eastAsia="宋体" w:cs="Arial"/>
          <w:kern w:val="0"/>
          <w:sz w:val="24"/>
          <w:szCs w:val="24"/>
        </w:rPr>
        <w:t xml:space="preserve"> TLS </w:t>
      </w:r>
      <w:r>
        <w:rPr>
          <w:rFonts w:hint="eastAsia" w:ascii="宋体" w:hAnsi="宋体" w:eastAsia="宋体" w:cs="Arial"/>
          <w:kern w:val="0"/>
          <w:sz w:val="24"/>
          <w:szCs w:val="24"/>
        </w:rPr>
        <w:t>会话重协商；</w:t>
      </w:r>
    </w:p>
    <w:p w14:paraId="068A2FA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d)</w:t>
      </w:r>
      <w:r>
        <w:rPr>
          <w:rFonts w:hint="eastAsia" w:ascii="宋体" w:hAnsi="宋体" w:eastAsia="宋体" w:cs="Arial"/>
          <w:kern w:val="0"/>
          <w:sz w:val="24"/>
          <w:szCs w:val="24"/>
        </w:rPr>
        <w:t>应禁用</w:t>
      </w:r>
      <w:r>
        <w:rPr>
          <w:rFonts w:hint="default" w:ascii="宋体" w:hAnsi="宋体" w:eastAsia="宋体" w:cs="Arial"/>
          <w:kern w:val="0"/>
          <w:sz w:val="24"/>
          <w:szCs w:val="24"/>
        </w:rPr>
        <w:t xml:space="preserve"> TLS</w:t>
      </w:r>
      <w:r>
        <w:rPr>
          <w:rFonts w:hint="eastAsia" w:ascii="宋体" w:hAnsi="宋体" w:eastAsia="宋体" w:cs="Arial"/>
          <w:kern w:val="0"/>
          <w:sz w:val="24"/>
          <w:szCs w:val="24"/>
        </w:rPr>
        <w:t>压缩；</w:t>
      </w:r>
    </w:p>
    <w:p w14:paraId="46AE5F56">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e)</w:t>
      </w:r>
      <w:r>
        <w:rPr>
          <w:rFonts w:hint="eastAsia" w:ascii="宋体" w:hAnsi="宋体" w:eastAsia="宋体" w:cs="Arial"/>
          <w:kern w:val="0"/>
          <w:sz w:val="24"/>
          <w:szCs w:val="24"/>
        </w:rPr>
        <w:t>若使用基于非对称密钥的身份认证机制，宜使用</w:t>
      </w:r>
      <w:r>
        <w:rPr>
          <w:rFonts w:hint="default" w:ascii="宋体" w:hAnsi="宋体" w:eastAsia="宋体" w:cs="Arial"/>
          <w:kern w:val="0"/>
          <w:sz w:val="24"/>
          <w:szCs w:val="24"/>
        </w:rPr>
        <w:t xml:space="preserve"> SM2</w:t>
      </w:r>
      <w:r>
        <w:rPr>
          <w:rFonts w:hint="eastAsia" w:ascii="宋体" w:hAnsi="宋体" w:eastAsia="宋体" w:cs="Arial"/>
          <w:kern w:val="0"/>
          <w:sz w:val="24"/>
          <w:szCs w:val="24"/>
        </w:rPr>
        <w:t>密长度不低于</w:t>
      </w:r>
      <w:r>
        <w:rPr>
          <w:rFonts w:hint="default" w:ascii="宋体" w:hAnsi="宋体" w:eastAsia="宋体" w:cs="Arial"/>
          <w:kern w:val="0"/>
          <w:sz w:val="24"/>
          <w:szCs w:val="24"/>
        </w:rPr>
        <w:t>2048</w:t>
      </w:r>
      <w:r>
        <w:rPr>
          <w:rFonts w:hint="eastAsia" w:ascii="宋体" w:hAnsi="宋体" w:eastAsia="宋体" w:cs="Arial"/>
          <w:kern w:val="0"/>
          <w:sz w:val="24"/>
          <w:szCs w:val="24"/>
        </w:rPr>
        <w:t>位的</w:t>
      </w:r>
      <w:r>
        <w:rPr>
          <w:rFonts w:hint="default" w:ascii="宋体" w:hAnsi="宋体" w:eastAsia="宋体" w:cs="Arial"/>
          <w:kern w:val="0"/>
          <w:sz w:val="24"/>
          <w:szCs w:val="24"/>
        </w:rPr>
        <w:t xml:space="preserve"> RSA</w:t>
      </w:r>
      <w:r>
        <w:rPr>
          <w:rFonts w:hint="eastAsia" w:ascii="宋体" w:hAnsi="宋体" w:eastAsia="宋体" w:cs="Arial"/>
          <w:kern w:val="0"/>
          <w:sz w:val="24"/>
          <w:szCs w:val="24"/>
        </w:rPr>
        <w:t>或同级别以及更高级的密码算法，应具有对应的证书更新及撤销机制，证书的有效期宜不超过</w:t>
      </w:r>
      <w:r>
        <w:rPr>
          <w:rFonts w:hint="default" w:ascii="宋体" w:hAnsi="宋体" w:eastAsia="宋体" w:cs="Arial"/>
          <w:kern w:val="0"/>
          <w:sz w:val="24"/>
          <w:szCs w:val="24"/>
        </w:rPr>
        <w:t>365 d</w:t>
      </w:r>
      <w:r>
        <w:rPr>
          <w:rFonts w:hint="eastAsia" w:ascii="宋体" w:hAnsi="宋体" w:eastAsia="宋体" w:cs="Arial"/>
          <w:kern w:val="0"/>
          <w:sz w:val="24"/>
          <w:szCs w:val="24"/>
        </w:rPr>
        <w:t>证书更新过程应确保密钥安全性</w:t>
      </w:r>
      <w:r>
        <w:rPr>
          <w:rFonts w:hint="default" w:ascii="宋体" w:hAnsi="宋体" w:eastAsia="宋体" w:cs="Arial"/>
          <w:kern w:val="0"/>
          <w:sz w:val="24"/>
          <w:szCs w:val="24"/>
        </w:rPr>
        <w:t>;</w:t>
      </w:r>
    </w:p>
    <w:p w14:paraId="67AC92A5">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f)</w:t>
      </w:r>
      <w:r>
        <w:rPr>
          <w:rFonts w:hint="eastAsia" w:ascii="宋体" w:hAnsi="宋体" w:eastAsia="宋体" w:cs="Arial"/>
          <w:kern w:val="0"/>
          <w:sz w:val="24"/>
          <w:szCs w:val="24"/>
        </w:rPr>
        <w:t>若使用基于对称密钥的身份认证机制，宜使用</w:t>
      </w:r>
      <w:r>
        <w:rPr>
          <w:rFonts w:hint="default" w:ascii="宋体" w:hAnsi="宋体" w:eastAsia="宋体" w:cs="Arial"/>
          <w:kern w:val="0"/>
          <w:sz w:val="24"/>
          <w:szCs w:val="24"/>
        </w:rPr>
        <w:t xml:space="preserve"> SM4</w:t>
      </w:r>
      <w:r>
        <w:rPr>
          <w:rFonts w:hint="eastAsia" w:ascii="宋体" w:hAnsi="宋体" w:eastAsia="宋体" w:cs="Arial"/>
          <w:kern w:val="0"/>
          <w:sz w:val="24"/>
          <w:szCs w:val="24"/>
        </w:rPr>
        <w:t>密长度不低于</w:t>
      </w:r>
      <w:r>
        <w:rPr>
          <w:rFonts w:hint="default" w:ascii="宋体" w:hAnsi="宋体" w:eastAsia="宋体" w:cs="Arial"/>
          <w:kern w:val="0"/>
          <w:sz w:val="24"/>
          <w:szCs w:val="24"/>
        </w:rPr>
        <w:t>128</w:t>
      </w:r>
      <w:r>
        <w:rPr>
          <w:rFonts w:hint="eastAsia" w:ascii="宋体" w:hAnsi="宋体" w:eastAsia="宋体" w:cs="Arial"/>
          <w:kern w:val="0"/>
          <w:sz w:val="24"/>
          <w:szCs w:val="24"/>
        </w:rPr>
        <w:t>位的</w:t>
      </w:r>
      <w:r>
        <w:rPr>
          <w:rFonts w:hint="default" w:ascii="宋体" w:hAnsi="宋体" w:eastAsia="宋体" w:cs="Arial"/>
          <w:kern w:val="0"/>
          <w:sz w:val="24"/>
          <w:szCs w:val="24"/>
        </w:rPr>
        <w:t>AES</w:t>
      </w:r>
      <w:r>
        <w:rPr>
          <w:rFonts w:hint="eastAsia" w:ascii="宋体" w:hAnsi="宋体" w:eastAsia="宋体" w:cs="Arial"/>
          <w:kern w:val="0"/>
          <w:sz w:val="24"/>
          <w:szCs w:val="24"/>
        </w:rPr>
        <w:t>或同级别以及更高级的密码算法，应具有对应的密钥更新机制，更新过程中应确保密钥安全性。</w:t>
      </w:r>
    </w:p>
    <w:p w14:paraId="43C5757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5.4.3  </w:t>
      </w:r>
      <w:r>
        <w:rPr>
          <w:rFonts w:hint="eastAsia" w:ascii="宋体" w:hAnsi="宋体" w:eastAsia="宋体" w:cs="Arial"/>
          <w:kern w:val="0"/>
          <w:sz w:val="24"/>
          <w:szCs w:val="24"/>
        </w:rPr>
        <w:t>车载终端与平台通信安全要求如下：</w:t>
      </w:r>
    </w:p>
    <w:p w14:paraId="33648CD6">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车载终端到平台的通信应满足双向身份鉴别和传输数据的保密性、完整性和可用性要求。车载终端向平台实时上报</w:t>
      </w:r>
      <w:r>
        <w:rPr>
          <w:rFonts w:hint="default" w:ascii="宋体" w:hAnsi="宋体" w:eastAsia="宋体" w:cs="Arial"/>
          <w:kern w:val="0"/>
          <w:sz w:val="24"/>
          <w:szCs w:val="24"/>
        </w:rPr>
        <w:t xml:space="preserve"> GB/T 32960.3-2016 </w:t>
      </w:r>
      <w:r>
        <w:rPr>
          <w:rFonts w:hint="eastAsia" w:ascii="宋体" w:hAnsi="宋体" w:eastAsia="宋体" w:cs="Arial"/>
          <w:kern w:val="0"/>
          <w:sz w:val="24"/>
          <w:szCs w:val="24"/>
        </w:rPr>
        <w:t>所要求的实时信息上报数据时，应按</w:t>
      </w:r>
      <w:r>
        <w:rPr>
          <w:rFonts w:hint="default" w:ascii="宋体" w:hAnsi="宋体" w:eastAsia="宋体" w:cs="Arial"/>
          <w:kern w:val="0"/>
          <w:sz w:val="24"/>
          <w:szCs w:val="24"/>
        </w:rPr>
        <w:t>6.4.1</w:t>
      </w:r>
      <w:r>
        <w:rPr>
          <w:rFonts w:hint="eastAsia" w:ascii="宋体" w:hAnsi="宋体" w:eastAsia="宋体" w:cs="Arial"/>
          <w:kern w:val="0"/>
          <w:sz w:val="24"/>
          <w:szCs w:val="24"/>
        </w:rPr>
        <w:t>照进行加密处理。车载终端到平台的安全通信协议宜满足</w:t>
      </w:r>
      <w:r>
        <w:rPr>
          <w:rFonts w:hint="default" w:ascii="宋体" w:hAnsi="宋体" w:eastAsia="宋体" w:cs="Arial"/>
          <w:kern w:val="0"/>
          <w:sz w:val="24"/>
          <w:szCs w:val="24"/>
        </w:rPr>
        <w:t>5.4.2</w:t>
      </w:r>
      <w:r>
        <w:rPr>
          <w:rFonts w:hint="eastAsia" w:ascii="宋体" w:hAnsi="宋体" w:eastAsia="宋体" w:cs="Arial"/>
          <w:kern w:val="0"/>
          <w:sz w:val="24"/>
          <w:szCs w:val="24"/>
        </w:rPr>
        <w:t>的技术要求。</w:t>
      </w:r>
    </w:p>
    <w:p w14:paraId="0B1AB04A">
      <w:pPr>
        <w:pStyle w:val="26"/>
        <w:numPr>
          <w:ilvl w:val="0"/>
          <w:numId w:val="4"/>
        </w:numPr>
        <w:spacing w:line="360" w:lineRule="auto"/>
        <w:ind w:firstLineChars="0"/>
        <w:jc w:val="left"/>
        <w:rPr>
          <w:rFonts w:hint="default" w:ascii="宋体" w:hAnsi="宋体" w:eastAsia="宋体"/>
          <w:b/>
          <w:bCs/>
          <w:sz w:val="24"/>
          <w:szCs w:val="24"/>
        </w:rPr>
      </w:pPr>
      <w:bookmarkStart w:id="98" w:name="_Toc151111001"/>
      <w:bookmarkStart w:id="99" w:name="_Toc29061"/>
      <w:r>
        <w:rPr>
          <w:rFonts w:hint="default" w:ascii="宋体" w:hAnsi="宋体" w:eastAsia="宋体"/>
          <w:b/>
          <w:bCs/>
          <w:sz w:val="24"/>
          <w:szCs w:val="24"/>
        </w:rPr>
        <w:t>监管平台系统</w:t>
      </w:r>
      <w:bookmarkEnd w:id="98"/>
      <w:bookmarkEnd w:id="99"/>
    </w:p>
    <w:p w14:paraId="29EBABC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5.5.1</w:t>
      </w:r>
      <w:r>
        <w:rPr>
          <w:rFonts w:hint="eastAsia" w:ascii="宋体" w:hAnsi="宋体" w:eastAsia="宋体" w:cs="Arial"/>
          <w:kern w:val="0"/>
          <w:sz w:val="24"/>
          <w:szCs w:val="24"/>
        </w:rPr>
        <w:t>新能源公共汽车应安装符合</w:t>
      </w:r>
      <w:r>
        <w:rPr>
          <w:rFonts w:hint="default" w:ascii="宋体" w:hAnsi="宋体" w:eastAsia="宋体" w:cs="Arial"/>
          <w:kern w:val="0"/>
          <w:sz w:val="24"/>
          <w:szCs w:val="24"/>
        </w:rPr>
        <w:t xml:space="preserve"> GB/T 32960.1 </w:t>
      </w:r>
      <w:r>
        <w:rPr>
          <w:rFonts w:hint="eastAsia" w:ascii="宋体" w:hAnsi="宋体" w:eastAsia="宋体" w:cs="Arial"/>
          <w:kern w:val="0"/>
          <w:sz w:val="24"/>
          <w:szCs w:val="24"/>
        </w:rPr>
        <w:t>和</w:t>
      </w:r>
      <w:r>
        <w:rPr>
          <w:rFonts w:hint="default" w:ascii="宋体" w:hAnsi="宋体" w:eastAsia="宋体" w:cs="Arial"/>
          <w:kern w:val="0"/>
          <w:sz w:val="24"/>
          <w:szCs w:val="24"/>
        </w:rPr>
        <w:t xml:space="preserve"> GB/T 32960.2 </w:t>
      </w:r>
      <w:r>
        <w:rPr>
          <w:rFonts w:hint="eastAsia" w:ascii="宋体" w:hAnsi="宋体" w:eastAsia="宋体" w:cs="Arial"/>
          <w:kern w:val="0"/>
          <w:sz w:val="24"/>
          <w:szCs w:val="24"/>
        </w:rPr>
        <w:t>的车载终端，可采集和保存整车及系统部件的主要工作状态参数并发送至监控平台，通讯协议和数据格式应符合</w:t>
      </w:r>
      <w:r>
        <w:rPr>
          <w:rFonts w:hint="default" w:ascii="宋体" w:hAnsi="宋体" w:eastAsia="宋体" w:cs="Arial"/>
          <w:kern w:val="0"/>
          <w:sz w:val="24"/>
          <w:szCs w:val="24"/>
        </w:rPr>
        <w:t xml:space="preserve"> GB/T 32960.3 </w:t>
      </w:r>
      <w:r>
        <w:rPr>
          <w:rFonts w:hint="eastAsia" w:ascii="宋体" w:hAnsi="宋体" w:eastAsia="宋体" w:cs="Arial"/>
          <w:kern w:val="0"/>
          <w:sz w:val="24"/>
          <w:szCs w:val="24"/>
        </w:rPr>
        <w:t>的要求。</w:t>
      </w:r>
    </w:p>
    <w:p w14:paraId="579887A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5.5.2</w:t>
      </w:r>
      <w:r>
        <w:rPr>
          <w:rFonts w:hint="eastAsia" w:ascii="宋体" w:hAnsi="宋体" w:eastAsia="宋体" w:cs="Arial"/>
          <w:kern w:val="0"/>
          <w:sz w:val="24"/>
          <w:szCs w:val="24"/>
        </w:rPr>
        <w:t>车载终端应保证硬件、固件、软件系统、数据存储、网络接口传输、远程升级、日志和系统的信息安全，满足保密性、完整性、可用性的基本要求。</w:t>
      </w:r>
    </w:p>
    <w:p w14:paraId="15D3572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5.5.3</w:t>
      </w:r>
      <w:r>
        <w:rPr>
          <w:rFonts w:hint="eastAsia" w:ascii="宋体" w:hAnsi="宋体" w:eastAsia="宋体" w:cs="Arial"/>
          <w:kern w:val="0"/>
          <w:sz w:val="24"/>
          <w:szCs w:val="24"/>
        </w:rPr>
        <w:t>车辆的动力蓄电池管理系统应采用统一的通信协议和接口标准，以便于与云平台、其他辅助安全系统和车辆上其他系统进行数据交换和信息共享。</w:t>
      </w:r>
    </w:p>
    <w:p w14:paraId="57CDDED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5.5.4</w:t>
      </w:r>
      <w:r>
        <w:rPr>
          <w:rFonts w:hint="eastAsia" w:ascii="宋体" w:hAnsi="宋体" w:eastAsia="宋体" w:cs="Arial"/>
          <w:kern w:val="0"/>
          <w:sz w:val="24"/>
          <w:szCs w:val="24"/>
        </w:rPr>
        <w:t>驾驶台显示支持与云平台的数据传输，显示车辆的运行状态、电池电量、充电状态等信息，实时更新车辆信息。</w:t>
      </w:r>
    </w:p>
    <w:p w14:paraId="31BEA48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5.5.5</w:t>
      </w:r>
      <w:r>
        <w:rPr>
          <w:rFonts w:hint="eastAsia" w:ascii="宋体" w:hAnsi="宋体" w:eastAsia="宋体" w:cs="Arial"/>
          <w:kern w:val="0"/>
          <w:sz w:val="24"/>
          <w:szCs w:val="24"/>
        </w:rPr>
        <w:t>企业平台应对车载终端的信息安全进行监视管理。应能在车载终端产生信息安全问题后，为信息安全应急响应提供车载终端相关数据以及追溯手段给用户。</w:t>
      </w:r>
      <w:r>
        <w:rPr>
          <w:rFonts w:hint="default" w:ascii="宋体" w:hAnsi="宋体" w:eastAsia="宋体" w:cs="Arial"/>
          <w:kern w:val="0"/>
          <w:sz w:val="24"/>
          <w:szCs w:val="24"/>
        </w:rPr>
        <w:t xml:space="preserve"> </w:t>
      </w:r>
    </w:p>
    <w:p w14:paraId="4EA1802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5.5.6</w:t>
      </w:r>
      <w:r>
        <w:rPr>
          <w:rFonts w:hint="eastAsia" w:ascii="宋体" w:hAnsi="宋体" w:eastAsia="宋体" w:cs="Arial"/>
          <w:kern w:val="0"/>
          <w:sz w:val="24"/>
          <w:szCs w:val="24"/>
        </w:rPr>
        <w:t>公共平台可对车载终端的信息安全状况进行监测。</w:t>
      </w:r>
    </w:p>
    <w:p w14:paraId="6421E033">
      <w:pPr>
        <w:pStyle w:val="26"/>
        <w:numPr>
          <w:ilvl w:val="0"/>
          <w:numId w:val="4"/>
        </w:numPr>
        <w:spacing w:line="360" w:lineRule="auto"/>
        <w:ind w:firstLineChars="0"/>
        <w:jc w:val="left"/>
        <w:rPr>
          <w:rFonts w:hint="default" w:ascii="宋体" w:hAnsi="宋体" w:eastAsia="宋体"/>
          <w:b/>
          <w:bCs/>
          <w:sz w:val="24"/>
          <w:szCs w:val="24"/>
        </w:rPr>
      </w:pPr>
      <w:bookmarkStart w:id="100" w:name="_Toc702"/>
      <w:bookmarkStart w:id="101" w:name="_Toc151111002"/>
      <w:r>
        <w:rPr>
          <w:rFonts w:hint="eastAsia" w:ascii="宋体" w:hAnsi="宋体" w:eastAsia="宋体"/>
          <w:b/>
          <w:bCs/>
          <w:sz w:val="24"/>
          <w:szCs w:val="24"/>
        </w:rPr>
        <w:t>云平台</w:t>
      </w:r>
      <w:bookmarkEnd w:id="100"/>
      <w:bookmarkEnd w:id="101"/>
    </w:p>
    <w:p w14:paraId="33695896">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5.6.1 </w:t>
      </w:r>
      <w:r>
        <w:rPr>
          <w:rFonts w:hint="eastAsia" w:ascii="宋体" w:hAnsi="宋体" w:eastAsia="宋体" w:cs="Arial"/>
          <w:kern w:val="0"/>
          <w:sz w:val="24"/>
          <w:szCs w:val="24"/>
        </w:rPr>
        <w:t>感知层</w:t>
      </w:r>
    </w:p>
    <w:p w14:paraId="42CACC3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5.6.1.1</w:t>
      </w:r>
      <w:r>
        <w:rPr>
          <w:rFonts w:hint="eastAsia" w:ascii="宋体" w:hAnsi="宋体" w:eastAsia="宋体" w:cs="Arial"/>
          <w:kern w:val="0"/>
          <w:sz w:val="24"/>
          <w:szCs w:val="24"/>
        </w:rPr>
        <w:t xml:space="preserve"> 应具有云端组网能力，支持对外接口，可进行跨厂商设备组网；</w:t>
      </w:r>
    </w:p>
    <w:p w14:paraId="29BFBAA6">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5.6.1.</w:t>
      </w:r>
      <w:r>
        <w:rPr>
          <w:rFonts w:hint="eastAsia" w:ascii="宋体" w:hAnsi="宋体" w:eastAsia="宋体" w:cs="Arial"/>
          <w:kern w:val="0"/>
          <w:sz w:val="24"/>
          <w:szCs w:val="24"/>
        </w:rPr>
        <w:t>2 应支持独立式、无线组网式、有线式等方式安装部署；</w:t>
      </w:r>
    </w:p>
    <w:p w14:paraId="06CF7B2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5.6.1.</w:t>
      </w:r>
      <w:r>
        <w:rPr>
          <w:rFonts w:hint="eastAsia" w:ascii="宋体" w:hAnsi="宋体" w:eastAsia="宋体" w:cs="Arial"/>
          <w:kern w:val="0"/>
          <w:sz w:val="24"/>
          <w:szCs w:val="24"/>
        </w:rPr>
        <w:t>3 对于电池供电的设备，保障产品正常工作状态下最短连续工作时间应不少于5年；</w:t>
      </w:r>
    </w:p>
    <w:p w14:paraId="31EB301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5.6.1.</w:t>
      </w:r>
      <w:r>
        <w:rPr>
          <w:rFonts w:hint="eastAsia" w:ascii="宋体" w:hAnsi="宋体" w:eastAsia="宋体" w:cs="Arial"/>
          <w:kern w:val="0"/>
          <w:sz w:val="24"/>
          <w:szCs w:val="24"/>
        </w:rPr>
        <w:t>4 探测器自触发报警到传输至用户传输装置、网关的时间应不大于3S；</w:t>
      </w:r>
    </w:p>
    <w:p w14:paraId="15EB5AF4">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5.6.1.</w:t>
      </w:r>
      <w:r>
        <w:rPr>
          <w:rFonts w:hint="eastAsia" w:ascii="宋体" w:hAnsi="宋体" w:eastAsia="宋体" w:cs="Arial"/>
          <w:kern w:val="0"/>
          <w:sz w:val="24"/>
          <w:szCs w:val="24"/>
        </w:rPr>
        <w:t>5 用户传输装置支持远程升级，当升级失败时自动回退至上一历史版本，并具有升级失败提醒功能。</w:t>
      </w:r>
    </w:p>
    <w:p w14:paraId="68810238">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w:t>
      </w:r>
      <w:r>
        <w:rPr>
          <w:rFonts w:hint="eastAsia" w:ascii="宋体" w:hAnsi="宋体" w:eastAsia="宋体" w:cs="Arial"/>
          <w:kern w:val="0"/>
          <w:sz w:val="24"/>
          <w:szCs w:val="24"/>
        </w:rPr>
        <w:t>.</w:t>
      </w:r>
      <w:r>
        <w:rPr>
          <w:rFonts w:hint="default" w:ascii="宋体" w:hAnsi="宋体" w:eastAsia="宋体" w:cs="Arial"/>
          <w:kern w:val="0"/>
          <w:sz w:val="24"/>
          <w:szCs w:val="24"/>
        </w:rPr>
        <w:t>1.6</w:t>
      </w:r>
      <w:r>
        <w:rPr>
          <w:rFonts w:hint="eastAsia" w:ascii="宋体" w:hAnsi="宋体" w:eastAsia="宋体" w:cs="Arial"/>
          <w:kern w:val="0"/>
          <w:sz w:val="24"/>
          <w:szCs w:val="24"/>
        </w:rPr>
        <w:t>应识别自身故障类别并上传至云平台，包含通讯故障、电池欠压故障、底座分离故障，烟雾探测器还应识别烟室污染故障；</w:t>
      </w:r>
    </w:p>
    <w:p w14:paraId="593EA99D">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5.6.2 通讯层</w:t>
      </w:r>
    </w:p>
    <w:p w14:paraId="73B368DF">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.6.2</w:t>
      </w:r>
      <w:r>
        <w:rPr>
          <w:rFonts w:hint="eastAsia" w:ascii="宋体" w:hAnsi="宋体" w:eastAsia="宋体" w:cs="Arial"/>
          <w:kern w:val="0"/>
          <w:sz w:val="24"/>
          <w:szCs w:val="24"/>
        </w:rPr>
        <w:t>.1 应具有分布式通讯的能力，确保传输稳定；</w:t>
      </w:r>
    </w:p>
    <w:p w14:paraId="60040C3C">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.6.2</w:t>
      </w:r>
      <w:r>
        <w:rPr>
          <w:rFonts w:hint="eastAsia" w:ascii="宋体" w:hAnsi="宋体" w:eastAsia="宋体" w:cs="Arial"/>
          <w:kern w:val="0"/>
          <w:sz w:val="24"/>
          <w:szCs w:val="24"/>
        </w:rPr>
        <w:t>.2 应具有数据实时传输的能力，支持通过TCP/IP或MQTT等多种通讯协议确保数据及时、有效传输；</w:t>
      </w:r>
    </w:p>
    <w:p w14:paraId="7ADE2793">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.6.2</w:t>
      </w:r>
      <w:r>
        <w:rPr>
          <w:rFonts w:hint="eastAsia" w:ascii="宋体" w:hAnsi="宋体" w:eastAsia="宋体" w:cs="Arial"/>
          <w:kern w:val="0"/>
          <w:sz w:val="24"/>
          <w:szCs w:val="24"/>
        </w:rPr>
        <w:t>.3 应具有支持第三方平台对接的能力，预留平台通讯接口；</w:t>
      </w:r>
    </w:p>
    <w:p w14:paraId="7CDD226F">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5.6.3 平台层</w:t>
      </w:r>
    </w:p>
    <w:p w14:paraId="49B0650E">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 网络部署简单，支持自动上线和配置，实时管理和维护；</w:t>
      </w:r>
    </w:p>
    <w:p w14:paraId="4FBE1F31">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.2 支持设备远程维护，简化运维管理；</w:t>
      </w:r>
    </w:p>
    <w:p w14:paraId="3758CCCC">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.3 应具有视频数据、音频数据和图片数据等非结构化数据，以及结构化数据、半结构化数据的接入的功能；</w:t>
      </w:r>
    </w:p>
    <w:p w14:paraId="276B073C">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.4 应支持高清视频图像数据、图片数据、结构化数据等类型数据的万级别并发，且时延应不大于1秒；</w:t>
      </w:r>
    </w:p>
    <w:p w14:paraId="7D346368">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.5 应具备标准化接口以及兼容多种通信方式（NB-Iot、无线、有线等）；</w:t>
      </w:r>
    </w:p>
    <w:p w14:paraId="22476022">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.6 应具有数据管理功能，并支持存储一年周期以上数据；</w:t>
      </w:r>
    </w:p>
    <w:p w14:paraId="053E7FA3">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.7 应具有提供标准API接口或按第三方非标准协议对相关数据进行接入的能力；</w:t>
      </w:r>
    </w:p>
    <w:p w14:paraId="31A81B49">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.8 应支持对API进行管理，包含增删改查、授权、调用情况统计、API访问黑名单等；</w:t>
      </w:r>
    </w:p>
    <w:p w14:paraId="6F908272">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.9 应支持B/S架构并兼容chrome、Firefox、Edge等主流浏览器；</w:t>
      </w:r>
    </w:p>
    <w:p w14:paraId="7D5E28C2">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.10 应支持提供数据Excel模版下载、Excel导入功能；</w:t>
      </w:r>
    </w:p>
    <w:p w14:paraId="1F8D2569">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.11 支持对系统用户进行管理并支持对密码进行重置；</w:t>
      </w:r>
    </w:p>
    <w:p w14:paraId="67513E3F">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.12 支持数据的精确检索和模糊检索；</w:t>
      </w:r>
    </w:p>
    <w:p w14:paraId="3AAF868A">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.13 支持对角色分配功能权限、资源权限、API权限；</w:t>
      </w:r>
    </w:p>
    <w:p w14:paraId="2DED7A6A">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.14 具备平台内人员即时通讯系统；</w:t>
      </w:r>
    </w:p>
    <w:p w14:paraId="5E64820A">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.15 系统应具有日志管理功能，可记录用户的操作信息，并支持查询平台操作记录；</w:t>
      </w:r>
    </w:p>
    <w:p w14:paraId="3D0F525B">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.16 火警信息、故障信息、火警历史信息、故障历史信息列表存储时间应不小于2年；</w:t>
      </w:r>
    </w:p>
    <w:p w14:paraId="73643330">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.17 支持关键字、设备类型方式的设备搜索；</w:t>
      </w:r>
    </w:p>
    <w:p w14:paraId="3F85227D">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.6.3</w:t>
      </w:r>
      <w:r>
        <w:rPr>
          <w:rFonts w:hint="eastAsia" w:ascii="宋体" w:hAnsi="宋体" w:eastAsia="宋体" w:cs="Arial"/>
          <w:kern w:val="0"/>
          <w:sz w:val="24"/>
          <w:szCs w:val="24"/>
        </w:rPr>
        <w:t>.18 支持导入、导出设备列表；</w:t>
      </w:r>
    </w:p>
    <w:p w14:paraId="408D392F">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5.6.4服务层</w:t>
      </w:r>
    </w:p>
    <w:p w14:paraId="1A2C269C">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.6.4</w:t>
      </w:r>
      <w:r>
        <w:rPr>
          <w:rFonts w:hint="eastAsia" w:ascii="宋体" w:hAnsi="宋体" w:eastAsia="宋体" w:cs="Arial"/>
          <w:kern w:val="0"/>
          <w:sz w:val="24"/>
          <w:szCs w:val="24"/>
        </w:rPr>
        <w:t>.1 应具有数据挖掘分析的能力，包含预测性分析、因果性分析等；</w:t>
      </w:r>
    </w:p>
    <w:p w14:paraId="5EA84BA3">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.6.4</w:t>
      </w:r>
      <w:r>
        <w:rPr>
          <w:rFonts w:hint="eastAsia" w:ascii="宋体" w:hAnsi="宋体" w:eastAsia="宋体" w:cs="Arial"/>
          <w:kern w:val="0"/>
          <w:sz w:val="24"/>
          <w:szCs w:val="24"/>
        </w:rPr>
        <w:t>.2 应具有实时数据分析功能，实时统计显示当前火警总数、管理设备数量、故障设备总数、离线设备总数等统计信息；</w:t>
      </w:r>
    </w:p>
    <w:p w14:paraId="368E7C4E">
      <w:pPr>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.6.4</w:t>
      </w:r>
      <w:r>
        <w:rPr>
          <w:rFonts w:hint="eastAsia" w:ascii="宋体" w:hAnsi="宋体" w:eastAsia="宋体" w:cs="Arial"/>
          <w:kern w:val="0"/>
          <w:sz w:val="24"/>
          <w:szCs w:val="24"/>
        </w:rPr>
        <w:t>.3 应具有对平台的注册用户数、在线用户数进行统计的功能；</w:t>
      </w:r>
    </w:p>
    <w:p w14:paraId="0BD23837">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5</w:t>
      </w:r>
      <w:r>
        <w:rPr>
          <w:rFonts w:hint="default" w:ascii="宋体" w:hAnsi="宋体" w:eastAsia="宋体" w:cs="Arial"/>
          <w:kern w:val="0"/>
          <w:sz w:val="24"/>
          <w:szCs w:val="24"/>
        </w:rPr>
        <w:t>.6.4</w:t>
      </w:r>
      <w:r>
        <w:rPr>
          <w:rFonts w:hint="eastAsia" w:ascii="宋体" w:hAnsi="宋体" w:eastAsia="宋体" w:cs="Arial"/>
          <w:kern w:val="0"/>
          <w:sz w:val="24"/>
          <w:szCs w:val="24"/>
        </w:rPr>
        <w:t>.4 应具有标准化对外接口，可将监管数据信息推送至其他云平台统一监管；</w:t>
      </w:r>
    </w:p>
    <w:p w14:paraId="2C52A0BB">
      <w:pPr>
        <w:pStyle w:val="5"/>
        <w:numPr>
          <w:ilvl w:val="0"/>
          <w:numId w:val="2"/>
        </w:numPr>
        <w:spacing w:line="360" w:lineRule="auto"/>
        <w:ind w:left="284" w:hanging="284"/>
        <w:jc w:val="left"/>
        <w:rPr>
          <w:rFonts w:hint="default" w:ascii="宋体" w:hAnsi="宋体" w:eastAsia="宋体"/>
          <w:sz w:val="24"/>
          <w:szCs w:val="24"/>
        </w:rPr>
      </w:pPr>
      <w:bookmarkStart w:id="102" w:name="_Toc151110937"/>
      <w:bookmarkEnd w:id="102"/>
      <w:bookmarkStart w:id="103" w:name="_Toc151034686"/>
      <w:bookmarkEnd w:id="103"/>
      <w:bookmarkStart w:id="104" w:name="_Toc151021119"/>
      <w:bookmarkEnd w:id="104"/>
      <w:bookmarkStart w:id="105" w:name="_Toc151111003"/>
      <w:bookmarkEnd w:id="105"/>
      <w:bookmarkStart w:id="106" w:name="_Toc151111004"/>
      <w:bookmarkStart w:id="107" w:name="_Toc28511"/>
      <w:bookmarkStart w:id="108" w:name="_Toc9820"/>
      <w:r>
        <w:rPr>
          <w:rFonts w:hint="eastAsia" w:ascii="宋体" w:hAnsi="宋体" w:eastAsia="宋体"/>
          <w:sz w:val="24"/>
          <w:szCs w:val="24"/>
        </w:rPr>
        <w:t>总体要求</w:t>
      </w:r>
      <w:bookmarkEnd w:id="106"/>
      <w:bookmarkEnd w:id="107"/>
      <w:bookmarkEnd w:id="108"/>
    </w:p>
    <w:p w14:paraId="4482FFA4">
      <w:pPr>
        <w:pStyle w:val="26"/>
        <w:numPr>
          <w:ilvl w:val="0"/>
          <w:numId w:val="5"/>
        </w:numPr>
        <w:spacing w:line="360" w:lineRule="auto"/>
        <w:ind w:firstLineChars="0"/>
        <w:jc w:val="left"/>
        <w:rPr>
          <w:rFonts w:hint="default" w:ascii="宋体" w:hAnsi="宋体" w:eastAsia="宋体"/>
          <w:b/>
          <w:bCs/>
          <w:sz w:val="24"/>
          <w:szCs w:val="24"/>
        </w:rPr>
      </w:pPr>
      <w:bookmarkStart w:id="109" w:name="_Toc2577"/>
      <w:bookmarkStart w:id="110" w:name="_Toc151111005"/>
      <w:r>
        <w:rPr>
          <w:rFonts w:hint="eastAsia" w:ascii="宋体" w:hAnsi="宋体" w:eastAsia="宋体"/>
          <w:b/>
          <w:bCs/>
          <w:sz w:val="24"/>
          <w:szCs w:val="24"/>
        </w:rPr>
        <w:t>主动安全要求</w:t>
      </w:r>
      <w:bookmarkEnd w:id="109"/>
      <w:bookmarkEnd w:id="110"/>
    </w:p>
    <w:p w14:paraId="753F34E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6.1.1 动力蓄电池系统应采取热管理措施，保证电池在温度较高和温度较低时安全工作。热管理可以根据电池特点采取液冷方式冷却，根据电池以及环境温度可采取加热膜、PTC、液体等方式加热。</w:t>
      </w:r>
    </w:p>
    <w:p w14:paraId="686AE9E5">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6.1.2 动力蓄电池系统应设定高温报警，在温度过高时发出预警信息并请求整车进行降功率处理，整车通过热管理系统实施主动降温。</w:t>
      </w:r>
    </w:p>
    <w:p w14:paraId="502B38D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6.1.3 动力蓄电池系统宜采用独立式液冷的冷却方式。</w:t>
      </w:r>
    </w:p>
    <w:p w14:paraId="2F75A30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6.1.4 在低温环境下（≤0℃），动力蓄电池系统应实施降功率并开启加热功能。</w:t>
      </w:r>
    </w:p>
    <w:p w14:paraId="2FAB8EC1">
      <w:pPr>
        <w:pStyle w:val="26"/>
        <w:numPr>
          <w:ilvl w:val="0"/>
          <w:numId w:val="5"/>
        </w:numPr>
        <w:spacing w:line="360" w:lineRule="auto"/>
        <w:ind w:firstLineChars="0"/>
        <w:jc w:val="left"/>
        <w:rPr>
          <w:rFonts w:hint="default" w:ascii="宋体" w:hAnsi="宋体" w:eastAsia="宋体"/>
          <w:b/>
          <w:bCs/>
          <w:sz w:val="24"/>
          <w:szCs w:val="24"/>
        </w:rPr>
      </w:pPr>
      <w:bookmarkStart w:id="111" w:name="_Toc13808"/>
      <w:bookmarkStart w:id="112" w:name="_Toc151111006"/>
      <w:r>
        <w:rPr>
          <w:rFonts w:hint="eastAsia" w:ascii="宋体" w:hAnsi="宋体" w:eastAsia="宋体"/>
          <w:b/>
          <w:bCs/>
          <w:sz w:val="24"/>
          <w:szCs w:val="24"/>
        </w:rPr>
        <w:t>被动安全要求</w:t>
      </w:r>
      <w:bookmarkEnd w:id="111"/>
      <w:bookmarkEnd w:id="112"/>
    </w:p>
    <w:p w14:paraId="4F0C344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6.2.1  动力蓄电池系统中因动力蓄电池单体发生热失控时，应满足 GB 7258 中要求，5 min 内电池箱外部不会发生起火或爆炸。</w:t>
      </w:r>
    </w:p>
    <w:p w14:paraId="40B7E57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6.2.2  动力蓄电池系统应配备具有热事件预警、火灾报警及火灾抑制功能的符合消防产品市场准入要求的火灾防控装置。</w:t>
      </w:r>
    </w:p>
    <w:p w14:paraId="38162CB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6.2.3  火灾防控装置所使用的火情探测装置应具备对温度、烟雾、可燃气体的检测功能，实现热失控预警、火灾报警功能。应具备电解液泄漏检测功能。</w:t>
      </w:r>
    </w:p>
    <w:p w14:paraId="546A6E7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6.2.4  发生火灾时，火灾防控装置应自动启动灭火，并通过声和光向驾驶员报警。仪表盘上应能显示电池温度。</w:t>
      </w:r>
    </w:p>
    <w:p w14:paraId="6429D721">
      <w:pPr>
        <w:spacing w:line="360" w:lineRule="auto"/>
        <w:ind w:firstLine="480" w:firstLineChars="200"/>
        <w:rPr>
          <w:rFonts w:hint="default" w:ascii="宋体" w:hAnsi="宋体" w:eastAsia="宋体" w:cs="Arial"/>
          <w:kern w:val="0"/>
          <w:sz w:val="24"/>
          <w:szCs w:val="24"/>
          <w:lang w:val="en-US"/>
        </w:rPr>
      </w:pPr>
      <w:r>
        <w:rPr>
          <w:rFonts w:hint="default" w:ascii="宋体" w:hAnsi="宋体" w:eastAsia="宋体" w:cs="Arial"/>
          <w:kern w:val="0"/>
          <w:sz w:val="24"/>
          <w:szCs w:val="24"/>
        </w:rPr>
        <w:t xml:space="preserve">6.2.5  </w:t>
      </w:r>
      <w:r>
        <w:rPr>
          <w:rFonts w:hint="eastAsia" w:ascii="宋体" w:hAnsi="宋体" w:eastAsia="宋体" w:cs="Arial"/>
          <w:kern w:val="0"/>
          <w:sz w:val="24"/>
          <w:szCs w:val="24"/>
        </w:rPr>
        <w:t>当司乘人员发现锂电池出现火灾隐患或火情时，应能实现手动启动灭火，手动响应时间不应超过</w:t>
      </w:r>
      <w:r>
        <w:rPr>
          <w:rFonts w:hint="default" w:ascii="宋体" w:hAnsi="宋体" w:eastAsia="宋体" w:cs="Arial"/>
          <w:kern w:val="0"/>
          <w:sz w:val="24"/>
          <w:szCs w:val="24"/>
        </w:rPr>
        <w:t>2s</w:t>
      </w:r>
      <w:r>
        <w:rPr>
          <w:rFonts w:hint="eastAsia" w:ascii="宋体" w:hAnsi="宋体" w:eastAsia="宋体" w:cs="Arial"/>
          <w:kern w:val="0"/>
          <w:sz w:val="24"/>
          <w:szCs w:val="24"/>
        </w:rPr>
        <w:t>。</w:t>
      </w:r>
    </w:p>
    <w:p w14:paraId="1EE05B5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6.2.6  火灾防控装置应具备独立的控制系统，以及自动启动、手动启动、故障检测报警等功能。报警装置在预警时和防护装置启动后应在驾驶区给驾驶员持续的提供声和光报警信号，手动启动开关应为红色，并具有防止人员误操作的保护措施。</w:t>
      </w:r>
    </w:p>
    <w:p w14:paraId="1B1DFA8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6.2.7  火灾防控装置应为同一生产厂家并取得消防产品技术鉴定证书，且火灾防控装置型式检验中火灾抑制试验要求的电池容量不得低于 </w:t>
      </w:r>
      <w:r>
        <w:rPr>
          <w:rFonts w:hint="default" w:ascii="宋体" w:hAnsi="宋体" w:eastAsia="宋体" w:cs="Arial"/>
          <w:kern w:val="0"/>
          <w:sz w:val="24"/>
          <w:szCs w:val="24"/>
          <w:lang w:eastAsia="zh-CN"/>
        </w:rPr>
        <w:t>3</w:t>
      </w:r>
      <w:r>
        <w:rPr>
          <w:rFonts w:hint="default" w:ascii="宋体" w:hAnsi="宋体" w:eastAsia="宋体" w:cs="Arial"/>
          <w:kern w:val="0"/>
          <w:sz w:val="24"/>
          <w:szCs w:val="24"/>
          <w:lang w:val="en-US" w:eastAsia="zh-CN"/>
        </w:rPr>
        <w:t>0</w:t>
      </w:r>
      <w:r>
        <w:rPr>
          <w:rFonts w:hint="eastAsia" w:ascii="宋体" w:hAnsi="宋体" w:eastAsia="宋体" w:cs="Arial"/>
          <w:kern w:val="0"/>
          <w:sz w:val="24"/>
          <w:szCs w:val="24"/>
          <w:lang w:val="en-US" w:eastAsia="zh-CN"/>
        </w:rPr>
        <w:t>0</w:t>
      </w:r>
      <w:r>
        <w:rPr>
          <w:rFonts w:hint="default" w:ascii="宋体" w:hAnsi="宋体" w:eastAsia="宋体" w:cs="Arial"/>
          <w:kern w:val="0"/>
          <w:sz w:val="24"/>
          <w:szCs w:val="24"/>
          <w:lang w:val="en-US" w:eastAsia="zh-CN"/>
        </w:rPr>
        <w:t xml:space="preserve"> </w:t>
      </w:r>
      <w:r>
        <w:rPr>
          <w:rFonts w:hint="default" w:ascii="宋体" w:hAnsi="宋体" w:eastAsia="宋体" w:cs="Arial"/>
          <w:kern w:val="0"/>
          <w:sz w:val="24"/>
          <w:szCs w:val="24"/>
        </w:rPr>
        <w:t>Ah。</w:t>
      </w:r>
    </w:p>
    <w:p w14:paraId="7C8A528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6.2.8  </w:t>
      </w:r>
      <w:r>
        <w:rPr>
          <w:rFonts w:hint="eastAsia" w:ascii="宋体" w:hAnsi="宋体" w:eastAsia="宋体" w:cs="Arial"/>
          <w:kern w:val="0"/>
          <w:sz w:val="24"/>
          <w:szCs w:val="24"/>
        </w:rPr>
        <w:t>除车辆保养外，车辆运行状态下、充电状态下及停车断电</w:t>
      </w:r>
      <w:r>
        <w:rPr>
          <w:rFonts w:hint="default" w:ascii="宋体" w:hAnsi="宋体" w:eastAsia="宋体" w:cs="Arial"/>
          <w:kern w:val="0"/>
          <w:sz w:val="24"/>
          <w:szCs w:val="24"/>
        </w:rPr>
        <w:t>72h</w:t>
      </w:r>
      <w:r>
        <w:rPr>
          <w:rFonts w:hint="eastAsia" w:ascii="宋体" w:hAnsi="宋体" w:eastAsia="宋体" w:cs="Arial"/>
          <w:kern w:val="0"/>
          <w:sz w:val="24"/>
          <w:szCs w:val="24"/>
        </w:rPr>
        <w:t>内，火灾防控装置可以实现火灾探测和灭火抑制。</w:t>
      </w:r>
    </w:p>
    <w:p w14:paraId="7F382FF0">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6.2.9  火灾防控装置低压线束选型及布置应符合以下要求：</w:t>
      </w:r>
    </w:p>
    <w:p w14:paraId="47D6073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a</w:t>
      </w:r>
      <w:r>
        <w:rPr>
          <w:rFonts w:hint="eastAsia" w:ascii="宋体" w:hAnsi="宋体" w:eastAsia="宋体" w:cs="Arial"/>
          <w:kern w:val="0"/>
          <w:sz w:val="24"/>
          <w:szCs w:val="24"/>
        </w:rPr>
        <w:t>）低压线束应具备耐高温性，最高工作温度≥</w:t>
      </w:r>
      <w:r>
        <w:rPr>
          <w:rFonts w:hint="default" w:ascii="宋体" w:hAnsi="宋体" w:eastAsia="宋体" w:cs="Arial"/>
          <w:kern w:val="0"/>
          <w:sz w:val="24"/>
          <w:szCs w:val="24"/>
        </w:rPr>
        <w:t xml:space="preserve">150 </w:t>
      </w:r>
      <w:r>
        <w:rPr>
          <w:rFonts w:hint="eastAsia" w:ascii="宋体" w:hAnsi="宋体" w:eastAsia="宋体" w:cs="Arial"/>
          <w:kern w:val="0"/>
          <w:sz w:val="24"/>
          <w:szCs w:val="24"/>
        </w:rPr>
        <w:t>℃，瞬时（持续时间</w:t>
      </w:r>
      <w:r>
        <w:rPr>
          <w:rFonts w:hint="default" w:ascii="宋体" w:hAnsi="宋体" w:eastAsia="宋体" w:cs="Arial"/>
          <w:kern w:val="0"/>
          <w:sz w:val="24"/>
          <w:szCs w:val="24"/>
        </w:rPr>
        <w:t xml:space="preserve"> 30 s</w:t>
      </w:r>
      <w:r>
        <w:rPr>
          <w:rFonts w:hint="eastAsia" w:ascii="宋体" w:hAnsi="宋体" w:eastAsia="宋体" w:cs="Arial"/>
          <w:kern w:val="0"/>
          <w:sz w:val="24"/>
          <w:szCs w:val="24"/>
        </w:rPr>
        <w:t>）耐高温＞</w:t>
      </w:r>
      <w:r>
        <w:rPr>
          <w:rFonts w:hint="default" w:ascii="宋体" w:hAnsi="宋体" w:eastAsia="宋体" w:cs="Arial"/>
          <w:kern w:val="0"/>
          <w:sz w:val="24"/>
          <w:szCs w:val="24"/>
        </w:rPr>
        <w:t xml:space="preserve">400 </w:t>
      </w:r>
      <w:r>
        <w:rPr>
          <w:rFonts w:hint="eastAsia" w:ascii="宋体" w:hAnsi="宋体" w:eastAsia="宋体" w:cs="Arial"/>
          <w:kern w:val="0"/>
          <w:sz w:val="24"/>
          <w:szCs w:val="24"/>
        </w:rPr>
        <w:t>℃，宜选择铁氟龙线；</w:t>
      </w:r>
    </w:p>
    <w:p w14:paraId="47A6A78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b</w:t>
      </w:r>
      <w:r>
        <w:rPr>
          <w:rFonts w:hint="eastAsia" w:ascii="宋体" w:hAnsi="宋体" w:eastAsia="宋体" w:cs="Arial"/>
          <w:kern w:val="0"/>
          <w:sz w:val="24"/>
          <w:szCs w:val="24"/>
        </w:rPr>
        <w:t>）低压线束走线应远离易起火部件，避免在易起火部件上方走线</w:t>
      </w:r>
      <w:r>
        <w:rPr>
          <w:rFonts w:hint="default" w:ascii="宋体" w:hAnsi="宋体" w:eastAsia="宋体" w:cs="Arial"/>
          <w:kern w:val="0"/>
          <w:sz w:val="24"/>
          <w:szCs w:val="24"/>
        </w:rPr>
        <w:t>。</w:t>
      </w:r>
    </w:p>
    <w:p w14:paraId="2FB47AE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c</w:t>
      </w:r>
      <w:r>
        <w:rPr>
          <w:rFonts w:hint="eastAsia" w:ascii="宋体" w:hAnsi="宋体" w:eastAsia="宋体" w:cs="Arial"/>
          <w:kern w:val="0"/>
          <w:sz w:val="24"/>
          <w:szCs w:val="24"/>
        </w:rPr>
        <w:t>）易起火部件应安装自动灭火器，避免易起火部件着火时损坏低压线束，造成火灾防控装置功能失效。</w:t>
      </w:r>
    </w:p>
    <w:p w14:paraId="52089534">
      <w:pPr>
        <w:pStyle w:val="26"/>
        <w:numPr>
          <w:ilvl w:val="0"/>
          <w:numId w:val="5"/>
        </w:numPr>
        <w:spacing w:line="360" w:lineRule="auto"/>
        <w:ind w:firstLineChars="0"/>
        <w:jc w:val="left"/>
        <w:rPr>
          <w:rFonts w:hint="default" w:ascii="宋体" w:hAnsi="宋体" w:eastAsia="宋体"/>
          <w:b/>
          <w:bCs/>
          <w:sz w:val="24"/>
          <w:szCs w:val="24"/>
        </w:rPr>
      </w:pPr>
      <w:bookmarkStart w:id="113" w:name="_Toc151111007"/>
      <w:bookmarkStart w:id="114" w:name="_Toc9548"/>
      <w:r>
        <w:rPr>
          <w:rFonts w:hint="eastAsia" w:ascii="宋体" w:hAnsi="宋体" w:eastAsia="宋体"/>
          <w:b/>
          <w:bCs/>
          <w:sz w:val="24"/>
          <w:szCs w:val="24"/>
        </w:rPr>
        <w:t>安装要求</w:t>
      </w:r>
      <w:bookmarkEnd w:id="113"/>
      <w:bookmarkEnd w:id="114"/>
    </w:p>
    <w:p w14:paraId="442C2494">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6.3.1 根据不同客车的条件，火灾抑制装置采用下列两种配置方式之一：</w:t>
      </w:r>
    </w:p>
    <w:p w14:paraId="0D38BD0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a)采用集中式配置方式时，每个火灾抑制装置防控电池箱数量不宜超过10个，配备的抑制介质用量应至少同时满足防控车辆上任意两个电池箱的所需用量；超过10个电池箱，可不增加火灾防控装置，但每增加5个电池箱(不足5按5个计)，所增加的抑制质用量应满足防控任意一个电池箱所需用量。</w:t>
      </w:r>
    </w:p>
    <w:p w14:paraId="062ADD74">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b)采用分布式配置方式时，每个火灾抑制装置抑制介质用量不应低于对应防控电池箱火灾所需用量。铰接客车应按铰接盘前后分区域布置火灾抑制装置。</w:t>
      </w:r>
    </w:p>
    <w:p w14:paraId="72DC61F0">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6.3.2火灾防控装置应安装牢靠，车辆运行和抑制介质喷放过程中不应出现部件松动、脱落等现象。</w:t>
      </w:r>
    </w:p>
    <w:p w14:paraId="76C4860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6.3.3 火灾防控装置宜安装在易于查验、检修并远离热源的位置，应在易于观察的区域设置永久性标识。标识内容应至少包括：产品型号规格、抑制介质名称、火灾防控装置数量、使用环境温度范围、关键技术参数、注意事项、警告用语、使用有效期、生产日期、生产单位等。</w:t>
      </w:r>
    </w:p>
    <w:p w14:paraId="75B42765">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6.3.4 火灾防控装置的报警和手动启动组件应安装在驾驶区内易于观察的区域。且便于操作。手动启动组件应有明显标识，并设有防止误操作的保护措施。</w:t>
      </w:r>
    </w:p>
    <w:p w14:paraId="4BD7E1A3">
      <w:pPr>
        <w:pStyle w:val="26"/>
        <w:numPr>
          <w:ilvl w:val="0"/>
          <w:numId w:val="5"/>
        </w:numPr>
        <w:spacing w:line="360" w:lineRule="auto"/>
        <w:ind w:firstLineChars="0"/>
        <w:jc w:val="left"/>
        <w:rPr>
          <w:rFonts w:hint="default" w:ascii="宋体" w:hAnsi="宋体" w:eastAsia="宋体"/>
          <w:b/>
          <w:bCs/>
          <w:sz w:val="24"/>
          <w:szCs w:val="24"/>
        </w:rPr>
      </w:pPr>
      <w:bookmarkStart w:id="115" w:name="_Toc22144"/>
      <w:bookmarkStart w:id="116" w:name="_Toc151111008"/>
      <w:r>
        <w:rPr>
          <w:rFonts w:hint="eastAsia" w:ascii="宋体" w:hAnsi="宋体" w:eastAsia="宋体"/>
          <w:b/>
          <w:bCs/>
          <w:sz w:val="24"/>
          <w:szCs w:val="24"/>
        </w:rPr>
        <w:t>环境条件</w:t>
      </w:r>
      <w:bookmarkEnd w:id="115"/>
      <w:bookmarkEnd w:id="116"/>
    </w:p>
    <w:p w14:paraId="50935FD5">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lang w:val="en-US"/>
        </w:rPr>
        <w:t>6.4.1 机组工作环境温度 -40 ℃ ～</w:t>
      </w:r>
      <w:r>
        <w:rPr>
          <w:rFonts w:hint="eastAsia" w:ascii="宋体" w:hAnsi="宋体" w:eastAsia="宋体" w:cs="Arial"/>
          <w:kern w:val="0"/>
          <w:sz w:val="24"/>
          <w:szCs w:val="24"/>
          <w:lang w:val="en-US" w:eastAsia="zh-CN"/>
        </w:rPr>
        <w:t>8</w:t>
      </w:r>
      <w:r>
        <w:rPr>
          <w:rFonts w:hint="default" w:ascii="宋体" w:hAnsi="宋体" w:eastAsia="宋体" w:cs="Arial"/>
          <w:kern w:val="0"/>
          <w:sz w:val="24"/>
          <w:szCs w:val="24"/>
          <w:lang w:val="en-US" w:eastAsia="zh-CN"/>
        </w:rPr>
        <w:t>5</w:t>
      </w:r>
      <w:r>
        <w:rPr>
          <w:rFonts w:hint="default" w:ascii="宋体" w:hAnsi="宋体" w:eastAsia="宋体" w:cs="Arial"/>
          <w:kern w:val="0"/>
          <w:sz w:val="24"/>
          <w:szCs w:val="24"/>
          <w:lang w:val="en-US"/>
        </w:rPr>
        <w:t xml:space="preserve"> ℃。</w:t>
      </w:r>
    </w:p>
    <w:p w14:paraId="4441FC90">
      <w:pPr>
        <w:spacing w:line="360" w:lineRule="auto"/>
        <w:ind w:firstLine="480" w:firstLineChars="200"/>
        <w:rPr>
          <w:rFonts w:hint="eastAsia" w:ascii="宋体" w:hAnsi="宋体" w:eastAsia="宋体" w:cs="Arial"/>
          <w:kern w:val="0"/>
          <w:sz w:val="24"/>
          <w:szCs w:val="24"/>
          <w:lang w:val="en-US" w:eastAsia="zh-CN"/>
        </w:rPr>
      </w:pPr>
      <w:r>
        <w:rPr>
          <w:rFonts w:hint="default" w:ascii="宋体" w:hAnsi="宋体" w:eastAsia="宋体" w:cs="Arial"/>
          <w:kern w:val="0"/>
          <w:sz w:val="24"/>
          <w:szCs w:val="24"/>
        </w:rPr>
        <w:t>6.4.2 工作电压范围</w:t>
      </w:r>
      <w:r>
        <w:rPr>
          <w:rFonts w:hint="eastAsia" w:ascii="宋体" w:hAnsi="宋体" w:eastAsia="宋体" w:cs="Arial"/>
          <w:kern w:val="0"/>
          <w:sz w:val="24"/>
          <w:szCs w:val="24"/>
          <w:lang w:val="en-US" w:eastAsia="zh-CN"/>
        </w:rPr>
        <w:t xml:space="preserve"> DC 9 V～DC 36 V</w:t>
      </w:r>
    </w:p>
    <w:p w14:paraId="1BD3D8CE">
      <w:pPr>
        <w:pStyle w:val="2"/>
        <w:rPr>
          <w:rFonts w:hint="eastAsia" w:ascii="宋体" w:hAnsi="宋体" w:eastAsia="宋体" w:cs="Arial"/>
          <w:kern w:val="0"/>
          <w:sz w:val="24"/>
          <w:szCs w:val="24"/>
          <w:lang w:val="en-US" w:eastAsia="zh-CN"/>
        </w:rPr>
      </w:pPr>
    </w:p>
    <w:p w14:paraId="43ED29F3">
      <w:pPr>
        <w:pStyle w:val="3"/>
        <w:rPr>
          <w:rFonts w:hint="eastAsia"/>
          <w:lang w:val="en-US" w:eastAsia="zh-CN"/>
        </w:rPr>
      </w:pPr>
    </w:p>
    <w:p w14:paraId="7832DAA6">
      <w:pPr>
        <w:pStyle w:val="26"/>
        <w:numPr>
          <w:ilvl w:val="0"/>
          <w:numId w:val="5"/>
        </w:numPr>
        <w:spacing w:line="360" w:lineRule="auto"/>
        <w:ind w:firstLineChars="0"/>
        <w:jc w:val="left"/>
        <w:rPr>
          <w:rFonts w:hint="default" w:ascii="宋体" w:hAnsi="宋体" w:eastAsia="宋体"/>
          <w:b/>
          <w:bCs/>
          <w:sz w:val="24"/>
          <w:szCs w:val="24"/>
        </w:rPr>
      </w:pPr>
      <w:bookmarkStart w:id="117" w:name="_Toc151111009"/>
      <w:bookmarkStart w:id="118" w:name="_Toc31869"/>
      <w:r>
        <w:rPr>
          <w:rFonts w:hint="eastAsia" w:ascii="宋体" w:hAnsi="宋体" w:eastAsia="宋体"/>
          <w:b/>
          <w:bCs/>
          <w:sz w:val="24"/>
          <w:szCs w:val="24"/>
        </w:rPr>
        <w:t>功能要求</w:t>
      </w:r>
      <w:bookmarkEnd w:id="117"/>
      <w:bookmarkEnd w:id="118"/>
    </w:p>
    <w:p w14:paraId="2C365390">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6.5.1预警功能</w:t>
      </w:r>
    </w:p>
    <w:p w14:paraId="7C61005A">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6.5.1.1一氧化碳气体浓度安全限定临界值达到190 ppm±50 ppm时， 应发出预警信号。</w:t>
      </w:r>
    </w:p>
    <w:p w14:paraId="1CB63D1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6.5.1.2 预警时，应通过声报警、光报警或声光复合报警的形式进行警示，声报警器的最大声压级不应小于75 dB（A计权），光报警器的闪光频率应为1 Hz~2 Hz，并能清晰闪烁。</w:t>
      </w:r>
    </w:p>
    <w:p w14:paraId="7ADB3C3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6.5.1.3 采用其他探测方式进行预警的，应经试验确认其符合预警要求。</w:t>
      </w:r>
    </w:p>
    <w:p w14:paraId="180918FD">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6.5.2 药剂喷射时间：药剂喷射总时长应不低于80s/5kg。</w:t>
      </w:r>
    </w:p>
    <w:p w14:paraId="5D4B38D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6.5.3 整车通电情况下，装置发生故障、预警或启动时，应能向驾驶区域发出声、光报警信号，且故障信号、预警信号和启动信号应有明显区别。</w:t>
      </w:r>
    </w:p>
    <w:p w14:paraId="794A04D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6.5.4 应具备数据存储功能，可以实现与整车通过CAN方式进行通讯。</w:t>
      </w:r>
    </w:p>
    <w:p w14:paraId="5A6A4BCA">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6.5.5 装置启动喷放抑制剂过程中，所产生的温度不应高于锂离子电池单体或模组的正常使用环境温度</w:t>
      </w:r>
    </w:p>
    <w:p w14:paraId="6DAF2C9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6.5.6 在85 ℃工作环境温度下，系统的最大工作压力不得超过10Mpa。</w:t>
      </w:r>
    </w:p>
    <w:p w14:paraId="2FDB163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 装置应具备如下自检功能：</w:t>
      </w:r>
    </w:p>
    <w:p w14:paraId="1125B01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6.5.7.1报警启动开关状态监测：</w:t>
      </w:r>
    </w:p>
    <w:p w14:paraId="6C08C189">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6.5.7.2总、分阀启动电路状态监测：</w:t>
      </w:r>
    </w:p>
    <w:p w14:paraId="5FE5C37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6.5.7.3抑制剂瓶组压力状态监测：</w:t>
      </w:r>
    </w:p>
    <w:p w14:paraId="09FB5F6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6.5.7.4传感器状态监测：</w:t>
      </w:r>
    </w:p>
    <w:p w14:paraId="038D63A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6.5.7.5系统电源状态监测：</w:t>
      </w:r>
    </w:p>
    <w:p w14:paraId="03D6F8C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6.5.7.6备用电源状态监测：</w:t>
      </w:r>
    </w:p>
    <w:p w14:paraId="2795BEC0">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6.5.7.7线束连接及通信状态监测。</w:t>
      </w:r>
    </w:p>
    <w:p w14:paraId="30C44047">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6.5.8 系统应具备在线升级功能。</w:t>
      </w:r>
    </w:p>
    <w:p w14:paraId="63E4488C">
      <w:pPr>
        <w:pStyle w:val="26"/>
        <w:numPr>
          <w:ilvl w:val="0"/>
          <w:numId w:val="5"/>
        </w:numPr>
        <w:spacing w:line="360" w:lineRule="auto"/>
        <w:ind w:firstLineChars="0"/>
        <w:jc w:val="left"/>
        <w:rPr>
          <w:rFonts w:hint="default" w:ascii="宋体" w:hAnsi="宋体" w:eastAsia="宋体"/>
          <w:b/>
          <w:bCs/>
          <w:sz w:val="24"/>
          <w:szCs w:val="24"/>
        </w:rPr>
      </w:pPr>
      <w:bookmarkStart w:id="119" w:name="_Toc30565"/>
      <w:bookmarkStart w:id="120" w:name="_Toc151111010"/>
      <w:r>
        <w:rPr>
          <w:rFonts w:hint="eastAsia" w:ascii="宋体" w:hAnsi="宋体" w:eastAsia="宋体"/>
          <w:b/>
          <w:bCs/>
          <w:sz w:val="24"/>
          <w:szCs w:val="24"/>
        </w:rPr>
        <w:t>电池管理系统</w:t>
      </w:r>
      <w:bookmarkEnd w:id="119"/>
      <w:bookmarkEnd w:id="120"/>
    </w:p>
    <w:p w14:paraId="3732E1E8">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6.6.1 电池管理系统应能监测或者通过其他方式获取蓄电池相关的数据，应包括电池包总电压、电池单体电压或者并联单体的电压、蓄电池组回路电流、蓄电池包内部温度等参数。 </w:t>
      </w:r>
    </w:p>
    <w:p w14:paraId="6FCE602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6.6.2 电池管理系统应能进行故障诊断并且记录蓄电池系统的故障信息，根据具体故障内容完成相应的故障处理，如故障码上报、实时警示和故障保护等。</w:t>
      </w:r>
    </w:p>
    <w:p w14:paraId="3AE9B240">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6.6.3 电池管理系统应具有自检功能，对电池管理系统主要功能进行初步筛查和识别，对严重影响使用和安全的功能异常给出预警。 </w:t>
      </w:r>
    </w:p>
    <w:p w14:paraId="3C4A9BB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6.6.4 电池管理系统应具有与车辆的其他控制器信息交互的功能。 </w:t>
      </w:r>
    </w:p>
    <w:p w14:paraId="04692C9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6.6.5 具有充电过程控制和管理功能的电池管理系统应能与车载充电机或者非车载充电机进行实时通信，与非车载充电机的通信协议应符合 GB/T 27930的要求。 </w:t>
      </w:r>
    </w:p>
    <w:p w14:paraId="4A971C7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6.6.6 具有绝缘电阻值检测功能的电池管理系统应实现对蓄电池系统绝缘电阻的监控。 </w:t>
      </w:r>
    </w:p>
    <w:p w14:paraId="1BAEBF7F">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6.6.7 电池管理系统应具有防止电池系统过充电、过放电、过流、过温的保护功能。 </w:t>
      </w:r>
    </w:p>
    <w:p w14:paraId="158B06A3">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6.6.8 电池管理系统应具有 SOC 估算功能，宜具有 SOP 估算和均衡功能。</w:t>
      </w:r>
    </w:p>
    <w:p w14:paraId="4B0BF1EB">
      <w:pPr>
        <w:pStyle w:val="5"/>
        <w:numPr>
          <w:ilvl w:val="0"/>
          <w:numId w:val="2"/>
        </w:numPr>
        <w:spacing w:line="360" w:lineRule="auto"/>
        <w:ind w:left="284" w:hanging="284"/>
        <w:jc w:val="left"/>
        <w:rPr>
          <w:rFonts w:hint="default" w:ascii="宋体" w:hAnsi="宋体" w:eastAsia="宋体"/>
          <w:sz w:val="24"/>
          <w:szCs w:val="24"/>
        </w:rPr>
      </w:pPr>
      <w:bookmarkStart w:id="121" w:name="_Toc148795419"/>
      <w:bookmarkEnd w:id="121"/>
      <w:bookmarkStart w:id="122" w:name="_Toc149557786"/>
      <w:bookmarkEnd w:id="122"/>
      <w:bookmarkStart w:id="123" w:name="_Toc148968619"/>
      <w:bookmarkEnd w:id="123"/>
      <w:bookmarkStart w:id="124" w:name="_Toc13054"/>
      <w:bookmarkStart w:id="125" w:name="_Toc1665"/>
      <w:bookmarkStart w:id="126" w:name="_Toc151111024"/>
      <w:r>
        <w:rPr>
          <w:rFonts w:hint="default" w:ascii="宋体" w:hAnsi="宋体" w:eastAsia="宋体"/>
          <w:sz w:val="24"/>
          <w:szCs w:val="24"/>
        </w:rPr>
        <w:t>动力</w:t>
      </w:r>
      <w:r>
        <w:rPr>
          <w:rFonts w:hint="eastAsia" w:ascii="宋体" w:hAnsi="宋体" w:eastAsia="宋体"/>
          <w:sz w:val="24"/>
          <w:szCs w:val="24"/>
        </w:rPr>
        <w:t>蓄电池系统布设</w:t>
      </w:r>
      <w:bookmarkEnd w:id="124"/>
      <w:bookmarkEnd w:id="125"/>
      <w:bookmarkEnd w:id="126"/>
    </w:p>
    <w:p w14:paraId="3C1FE1CD">
      <w:pPr>
        <w:pStyle w:val="26"/>
        <w:widowControl/>
        <w:numPr>
          <w:ilvl w:val="0"/>
          <w:numId w:val="6"/>
        </w:numPr>
        <w:spacing w:line="360" w:lineRule="auto"/>
        <w:ind w:firstLineChars="0"/>
        <w:jc w:val="left"/>
        <w:rPr>
          <w:rFonts w:hint="default" w:ascii="宋体" w:hAnsi="宋体" w:eastAsia="宋体"/>
          <w:b/>
          <w:bCs/>
          <w:sz w:val="24"/>
          <w:szCs w:val="24"/>
        </w:rPr>
      </w:pPr>
      <w:bookmarkStart w:id="127" w:name="_Toc25204"/>
      <w:bookmarkStart w:id="128" w:name="_Toc151111025"/>
      <w:r>
        <w:rPr>
          <w:rFonts w:hint="eastAsia" w:ascii="宋体" w:hAnsi="宋体" w:eastAsia="宋体"/>
          <w:b/>
          <w:bCs/>
          <w:sz w:val="24"/>
          <w:szCs w:val="24"/>
        </w:rPr>
        <w:t>隔离热源</w:t>
      </w:r>
      <w:bookmarkEnd w:id="127"/>
      <w:bookmarkEnd w:id="128"/>
    </w:p>
    <w:p w14:paraId="18A7660C">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动力</w:t>
      </w:r>
      <w:r>
        <w:rPr>
          <w:rFonts w:hint="eastAsia" w:ascii="宋体" w:hAnsi="宋体" w:eastAsia="宋体" w:cs="Arial"/>
          <w:kern w:val="0"/>
          <w:sz w:val="24"/>
          <w:szCs w:val="24"/>
        </w:rPr>
        <w:t>蓄电池系统中各电池箱的布置应降低箱外温度对各电池箱的影响程度差异。电池箱的布置应远离电机、电机散热风扇等高温热源，与热源靠近的电池舱应采取相应的隔热、保温等措施，宜采用阻燃材料保护层；整车发热源与电池箱不应布置在同一个电池舱。热源如果是高温流体，电池舱外表面应设置防辐射系数高的涂层或防护层，如铝箔等。</w:t>
      </w:r>
    </w:p>
    <w:p w14:paraId="450BD8CB">
      <w:pPr>
        <w:pStyle w:val="26"/>
        <w:widowControl/>
        <w:numPr>
          <w:ilvl w:val="0"/>
          <w:numId w:val="6"/>
        </w:numPr>
        <w:spacing w:line="360" w:lineRule="auto"/>
        <w:ind w:firstLineChars="0"/>
        <w:jc w:val="left"/>
        <w:rPr>
          <w:rFonts w:hint="default" w:ascii="宋体" w:hAnsi="宋体" w:eastAsia="宋体"/>
          <w:b/>
          <w:bCs/>
          <w:sz w:val="24"/>
          <w:szCs w:val="24"/>
        </w:rPr>
      </w:pPr>
      <w:bookmarkStart w:id="129" w:name="_Toc14273"/>
      <w:bookmarkStart w:id="130" w:name="_Toc151111026"/>
      <w:r>
        <w:rPr>
          <w:rFonts w:hint="eastAsia" w:ascii="宋体" w:hAnsi="宋体" w:eastAsia="宋体"/>
          <w:b/>
          <w:bCs/>
          <w:sz w:val="24"/>
          <w:szCs w:val="24"/>
        </w:rPr>
        <w:t>通风条件</w:t>
      </w:r>
      <w:bookmarkEnd w:id="129"/>
      <w:bookmarkEnd w:id="130"/>
    </w:p>
    <w:p w14:paraId="5B79D90B">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通风应满足以下条件：</w:t>
      </w:r>
    </w:p>
    <w:p w14:paraId="5A2F5C45">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a</w:t>
      </w:r>
      <w:r>
        <w:rPr>
          <w:rFonts w:hint="eastAsia" w:ascii="宋体" w:hAnsi="宋体" w:eastAsia="宋体" w:cs="Arial"/>
          <w:kern w:val="0"/>
          <w:sz w:val="24"/>
          <w:szCs w:val="24"/>
        </w:rPr>
        <w:t>）不带强制冷却的电池包布置区域，应开启通风格栅。格栅布置远离高温热源，格栅开启位置，</w:t>
      </w:r>
      <w:r>
        <w:rPr>
          <w:rFonts w:hint="default" w:ascii="宋体" w:hAnsi="宋体" w:eastAsia="宋体" w:cs="Arial"/>
          <w:kern w:val="0"/>
          <w:sz w:val="24"/>
          <w:szCs w:val="24"/>
        </w:rPr>
        <w:t xml:space="preserve"> </w:t>
      </w:r>
      <w:r>
        <w:rPr>
          <w:rFonts w:hint="eastAsia" w:ascii="宋体" w:hAnsi="宋体" w:eastAsia="宋体" w:cs="Arial"/>
          <w:kern w:val="0"/>
          <w:sz w:val="24"/>
          <w:szCs w:val="24"/>
        </w:rPr>
        <w:t>应利于通风散热；</w:t>
      </w:r>
    </w:p>
    <w:p w14:paraId="7FC5559E">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b</w:t>
      </w:r>
      <w:r>
        <w:rPr>
          <w:rFonts w:hint="eastAsia" w:ascii="宋体" w:hAnsi="宋体" w:eastAsia="宋体" w:cs="Arial"/>
          <w:kern w:val="0"/>
          <w:sz w:val="24"/>
          <w:szCs w:val="24"/>
        </w:rPr>
        <w:t>）使用配置水冷机组的电池包，水冷机组应与外界通风流畅；水冷机组排风为高温气体，宜排出到车体外，不应朝向电池包。</w:t>
      </w:r>
    </w:p>
    <w:p w14:paraId="18719257">
      <w:pPr>
        <w:pStyle w:val="26"/>
        <w:widowControl/>
        <w:numPr>
          <w:ilvl w:val="0"/>
          <w:numId w:val="6"/>
        </w:numPr>
        <w:spacing w:line="360" w:lineRule="auto"/>
        <w:ind w:firstLineChars="0"/>
        <w:jc w:val="left"/>
        <w:rPr>
          <w:rFonts w:hint="default" w:ascii="宋体" w:hAnsi="宋体" w:eastAsia="宋体"/>
          <w:b/>
          <w:bCs/>
          <w:sz w:val="24"/>
          <w:szCs w:val="24"/>
        </w:rPr>
      </w:pPr>
      <w:bookmarkStart w:id="131" w:name="_Toc151111027"/>
      <w:bookmarkStart w:id="132" w:name="_Toc11641"/>
      <w:r>
        <w:rPr>
          <w:rFonts w:hint="eastAsia" w:ascii="宋体" w:hAnsi="宋体" w:eastAsia="宋体"/>
          <w:b/>
          <w:bCs/>
          <w:sz w:val="24"/>
          <w:szCs w:val="24"/>
        </w:rPr>
        <w:t>各功能舱维护便捷性</w:t>
      </w:r>
      <w:bookmarkEnd w:id="131"/>
      <w:bookmarkEnd w:id="132"/>
    </w:p>
    <w:p w14:paraId="2156D714">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箱体、</w:t>
      </w:r>
      <w:r>
        <w:rPr>
          <w:rFonts w:hint="default" w:ascii="宋体" w:hAnsi="宋体" w:eastAsia="宋体" w:cs="Arial"/>
          <w:kern w:val="0"/>
          <w:sz w:val="24"/>
          <w:szCs w:val="24"/>
        </w:rPr>
        <w:t>MSD</w:t>
      </w:r>
      <w:r>
        <w:rPr>
          <w:rFonts w:hint="eastAsia" w:ascii="宋体" w:hAnsi="宋体" w:eastAsia="宋体" w:cs="Arial"/>
          <w:kern w:val="0"/>
          <w:sz w:val="24"/>
          <w:szCs w:val="24"/>
        </w:rPr>
        <w:t>、高低压线束、连接器等应方便拆装。针对</w:t>
      </w:r>
      <w:r>
        <w:rPr>
          <w:rFonts w:hint="default" w:ascii="宋体" w:hAnsi="宋体" w:eastAsia="宋体" w:cs="Arial"/>
          <w:kern w:val="0"/>
          <w:sz w:val="24"/>
          <w:szCs w:val="24"/>
        </w:rPr>
        <w:t>MSD</w:t>
      </w:r>
      <w:r>
        <w:rPr>
          <w:rFonts w:hint="eastAsia" w:ascii="宋体" w:hAnsi="宋体" w:eastAsia="宋体" w:cs="Arial"/>
          <w:kern w:val="0"/>
          <w:sz w:val="24"/>
          <w:szCs w:val="24"/>
        </w:rPr>
        <w:t>、高低压线束不方便维修的位置，可增加相应的检修窗口。箱体标签容易识别（尤其是电池系统</w:t>
      </w:r>
      <w:r>
        <w:rPr>
          <w:rFonts w:hint="default" w:ascii="宋体" w:hAnsi="宋体" w:eastAsia="宋体" w:cs="Arial"/>
          <w:kern w:val="0"/>
          <w:sz w:val="24"/>
          <w:szCs w:val="24"/>
        </w:rPr>
        <w:t>PN</w:t>
      </w:r>
      <w:r>
        <w:rPr>
          <w:rFonts w:hint="eastAsia" w:ascii="宋体" w:hAnsi="宋体" w:eastAsia="宋体" w:cs="Arial"/>
          <w:kern w:val="0"/>
          <w:sz w:val="24"/>
          <w:szCs w:val="24"/>
        </w:rPr>
        <w:t>、</w:t>
      </w:r>
      <w:r>
        <w:rPr>
          <w:rFonts w:hint="default" w:ascii="宋体" w:hAnsi="宋体" w:eastAsia="宋体" w:cs="Arial"/>
          <w:kern w:val="0"/>
          <w:sz w:val="24"/>
          <w:szCs w:val="24"/>
        </w:rPr>
        <w:t>SN</w:t>
      </w:r>
      <w:r>
        <w:rPr>
          <w:rFonts w:hint="eastAsia" w:ascii="宋体" w:hAnsi="宋体" w:eastAsia="宋体" w:cs="Arial"/>
          <w:kern w:val="0"/>
          <w:sz w:val="24"/>
          <w:szCs w:val="24"/>
        </w:rPr>
        <w:t>），防爆阀无干涉，方便安装气密性测试工装堵头，隔热散热良好，防护、防水、防泥符合要求。电池管理系统调试口便于连接调试线。</w:t>
      </w:r>
    </w:p>
    <w:p w14:paraId="285F39C4">
      <w:pPr>
        <w:pStyle w:val="26"/>
        <w:widowControl/>
        <w:numPr>
          <w:ilvl w:val="0"/>
          <w:numId w:val="6"/>
        </w:numPr>
        <w:spacing w:line="360" w:lineRule="auto"/>
        <w:ind w:firstLineChars="0"/>
        <w:jc w:val="left"/>
        <w:rPr>
          <w:rFonts w:hint="default" w:ascii="宋体" w:hAnsi="宋体" w:eastAsia="宋体"/>
          <w:b/>
          <w:bCs/>
          <w:sz w:val="24"/>
          <w:szCs w:val="24"/>
        </w:rPr>
      </w:pPr>
      <w:bookmarkStart w:id="133" w:name="_Toc151111028"/>
      <w:bookmarkStart w:id="134" w:name="_Toc18790"/>
      <w:r>
        <w:rPr>
          <w:rFonts w:hint="eastAsia" w:ascii="宋体" w:hAnsi="宋体" w:eastAsia="宋体"/>
          <w:b/>
          <w:bCs/>
          <w:sz w:val="24"/>
          <w:szCs w:val="24"/>
        </w:rPr>
        <w:t>车顶位置维护便捷性</w:t>
      </w:r>
      <w:bookmarkEnd w:id="133"/>
      <w:bookmarkEnd w:id="134"/>
    </w:p>
    <w:p w14:paraId="244E653B">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箱体、手动维修开关、高低压线束、连接器等应方便拆装，箱体标签容易识别（尤其是电池系统</w:t>
      </w:r>
      <w:r>
        <w:rPr>
          <w:rFonts w:hint="default" w:ascii="宋体" w:hAnsi="宋体" w:eastAsia="宋体" w:cs="Arial"/>
          <w:kern w:val="0"/>
          <w:sz w:val="24"/>
          <w:szCs w:val="24"/>
        </w:rPr>
        <w:t>PN</w:t>
      </w:r>
      <w:r>
        <w:rPr>
          <w:rFonts w:hint="eastAsia" w:ascii="宋体" w:hAnsi="宋体" w:eastAsia="宋体" w:cs="Arial"/>
          <w:kern w:val="0"/>
          <w:sz w:val="24"/>
          <w:szCs w:val="24"/>
        </w:rPr>
        <w:t>、</w:t>
      </w:r>
      <w:r>
        <w:rPr>
          <w:rFonts w:hint="default" w:ascii="宋体" w:hAnsi="宋体" w:eastAsia="宋体" w:cs="Arial"/>
          <w:kern w:val="0"/>
          <w:sz w:val="24"/>
          <w:szCs w:val="24"/>
        </w:rPr>
        <w:t>SN</w:t>
      </w:r>
      <w:r>
        <w:rPr>
          <w:rFonts w:hint="eastAsia" w:ascii="宋体" w:hAnsi="宋体" w:eastAsia="宋体" w:cs="Arial"/>
          <w:kern w:val="0"/>
          <w:sz w:val="24"/>
          <w:szCs w:val="24"/>
        </w:rPr>
        <w:t>）。防爆阀无干涉，方便安装气密性测试工装堵头，隔热散热良好，防水防尘防护到位。电池管理系统调试口方便连接调试线。可独立拆装电池箱体，不受整车其他部件干涉（不包含防撞装置）。</w:t>
      </w:r>
    </w:p>
    <w:p w14:paraId="1B019E2D">
      <w:pPr>
        <w:pStyle w:val="26"/>
        <w:widowControl/>
        <w:numPr>
          <w:ilvl w:val="0"/>
          <w:numId w:val="6"/>
        </w:numPr>
        <w:spacing w:line="360" w:lineRule="auto"/>
        <w:ind w:firstLineChars="0"/>
        <w:jc w:val="left"/>
        <w:rPr>
          <w:rFonts w:hint="default" w:ascii="宋体" w:hAnsi="宋体" w:eastAsia="宋体"/>
          <w:b/>
          <w:bCs/>
          <w:sz w:val="24"/>
          <w:szCs w:val="24"/>
        </w:rPr>
      </w:pPr>
      <w:bookmarkStart w:id="135" w:name="_Toc151111029"/>
      <w:bookmarkStart w:id="136" w:name="_Toc9364"/>
      <w:r>
        <w:rPr>
          <w:rFonts w:hint="eastAsia" w:ascii="宋体" w:hAnsi="宋体" w:eastAsia="宋体"/>
          <w:b/>
          <w:bCs/>
          <w:sz w:val="24"/>
          <w:szCs w:val="24"/>
        </w:rPr>
        <w:t>车底防护</w:t>
      </w:r>
      <w:bookmarkEnd w:id="135"/>
      <w:bookmarkEnd w:id="136"/>
    </w:p>
    <w:p w14:paraId="24F6DB30">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电池包底部应有整车底盘依托和防护，以降低箱体受到碰撞损坏程度。应对连接器所在面做隔板防护。</w:t>
      </w:r>
    </w:p>
    <w:p w14:paraId="6A455E96">
      <w:pPr>
        <w:pStyle w:val="26"/>
        <w:widowControl/>
        <w:numPr>
          <w:ilvl w:val="0"/>
          <w:numId w:val="6"/>
        </w:numPr>
        <w:spacing w:line="360" w:lineRule="auto"/>
        <w:ind w:firstLineChars="0"/>
        <w:jc w:val="left"/>
        <w:rPr>
          <w:rFonts w:hint="default" w:ascii="宋体" w:hAnsi="宋体" w:eastAsia="宋体"/>
          <w:b/>
          <w:bCs/>
          <w:sz w:val="24"/>
          <w:szCs w:val="24"/>
        </w:rPr>
      </w:pPr>
      <w:bookmarkStart w:id="137" w:name="_Toc151111030"/>
      <w:bookmarkStart w:id="138" w:name="_Toc21402"/>
      <w:r>
        <w:rPr>
          <w:rFonts w:hint="default" w:ascii="宋体" w:hAnsi="宋体" w:eastAsia="宋体"/>
          <w:b/>
          <w:bCs/>
          <w:sz w:val="24"/>
          <w:szCs w:val="24"/>
        </w:rPr>
        <w:t>动力</w:t>
      </w:r>
      <w:r>
        <w:rPr>
          <w:rFonts w:hint="eastAsia" w:ascii="宋体" w:hAnsi="宋体" w:eastAsia="宋体"/>
          <w:b/>
          <w:bCs/>
          <w:sz w:val="24"/>
          <w:szCs w:val="24"/>
        </w:rPr>
        <w:t>蓄电池舱体</w:t>
      </w:r>
      <w:bookmarkEnd w:id="137"/>
      <w:bookmarkEnd w:id="138"/>
    </w:p>
    <w:p w14:paraId="254914B6">
      <w:pPr>
        <w:spacing w:line="360" w:lineRule="auto"/>
        <w:ind w:firstLine="480" w:firstLineChars="200"/>
        <w:rPr>
          <w:rFonts w:hint="default" w:ascii="宋体" w:hAnsi="宋体" w:eastAsia="宋体" w:cs="Arial"/>
          <w:kern w:val="0"/>
          <w:sz w:val="24"/>
          <w:szCs w:val="24"/>
        </w:rPr>
      </w:pPr>
      <w:r>
        <w:rPr>
          <w:rFonts w:hint="eastAsia" w:ascii="宋体" w:hAnsi="宋体" w:eastAsia="宋体" w:cs="Arial"/>
          <w:kern w:val="0"/>
          <w:sz w:val="24"/>
          <w:szCs w:val="24"/>
        </w:rPr>
        <w:t>电池箱与乘客舱之间的隔热阻燃要求应符合</w:t>
      </w:r>
      <w:r>
        <w:rPr>
          <w:rFonts w:hint="default" w:ascii="宋体" w:hAnsi="宋体" w:eastAsia="宋体" w:cs="Arial"/>
          <w:kern w:val="0"/>
          <w:sz w:val="24"/>
          <w:szCs w:val="24"/>
        </w:rPr>
        <w:t xml:space="preserve"> GB 38032-2020</w:t>
      </w:r>
      <w:r>
        <w:rPr>
          <w:rFonts w:hint="eastAsia" w:ascii="宋体" w:hAnsi="宋体" w:eastAsia="宋体" w:cs="Arial"/>
          <w:kern w:val="0"/>
          <w:sz w:val="24"/>
          <w:szCs w:val="24"/>
        </w:rPr>
        <w:t>中</w:t>
      </w:r>
      <w:r>
        <w:rPr>
          <w:rFonts w:hint="default" w:ascii="宋体" w:hAnsi="宋体" w:eastAsia="宋体" w:cs="Arial"/>
          <w:kern w:val="0"/>
          <w:sz w:val="24"/>
          <w:szCs w:val="24"/>
        </w:rPr>
        <w:t>4.3.2</w:t>
      </w:r>
      <w:r>
        <w:rPr>
          <w:rFonts w:hint="eastAsia" w:ascii="宋体" w:hAnsi="宋体" w:eastAsia="宋体" w:cs="Arial"/>
          <w:kern w:val="0"/>
          <w:sz w:val="24"/>
          <w:szCs w:val="24"/>
        </w:rPr>
        <w:t>规定。</w:t>
      </w:r>
    </w:p>
    <w:p w14:paraId="4727A591">
      <w:pPr>
        <w:pStyle w:val="5"/>
        <w:numPr>
          <w:ilvl w:val="0"/>
          <w:numId w:val="2"/>
        </w:numPr>
        <w:spacing w:line="360" w:lineRule="auto"/>
        <w:ind w:left="284" w:hanging="284"/>
        <w:jc w:val="left"/>
        <w:rPr>
          <w:rFonts w:hint="default" w:ascii="宋体" w:hAnsi="宋体" w:eastAsia="宋体"/>
          <w:sz w:val="24"/>
          <w:szCs w:val="24"/>
        </w:rPr>
      </w:pPr>
      <w:bookmarkStart w:id="139" w:name="_Toc151110965"/>
      <w:bookmarkEnd w:id="139"/>
      <w:bookmarkStart w:id="140" w:name="_Toc151111031"/>
      <w:bookmarkEnd w:id="140"/>
      <w:bookmarkStart w:id="141" w:name="_Toc151034714"/>
      <w:bookmarkEnd w:id="141"/>
      <w:bookmarkStart w:id="142" w:name="_Toc151021147"/>
      <w:bookmarkEnd w:id="142"/>
      <w:bookmarkStart w:id="143" w:name="_Toc151111032"/>
      <w:bookmarkStart w:id="144" w:name="_Toc23682"/>
      <w:bookmarkStart w:id="145" w:name="_Toc10713"/>
      <w:r>
        <w:rPr>
          <w:rFonts w:hint="eastAsia" w:ascii="宋体" w:hAnsi="宋体" w:eastAsia="宋体"/>
          <w:sz w:val="24"/>
          <w:szCs w:val="24"/>
        </w:rPr>
        <w:t>系统使用维护</w:t>
      </w:r>
      <w:bookmarkEnd w:id="143"/>
      <w:bookmarkEnd w:id="144"/>
      <w:bookmarkEnd w:id="145"/>
    </w:p>
    <w:p w14:paraId="276891D1">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8.1  动力</w:t>
      </w:r>
      <w:r>
        <w:rPr>
          <w:rFonts w:hint="eastAsia" w:ascii="宋体" w:hAnsi="宋体" w:eastAsia="宋体" w:cs="Arial"/>
          <w:kern w:val="0"/>
          <w:sz w:val="24"/>
          <w:szCs w:val="24"/>
        </w:rPr>
        <w:t>蓄电池系统进行维护及维修时，应断开</w:t>
      </w:r>
      <w:r>
        <w:rPr>
          <w:rFonts w:hint="default" w:ascii="宋体" w:hAnsi="宋体" w:eastAsia="宋体" w:cs="Arial"/>
          <w:kern w:val="0"/>
          <w:sz w:val="24"/>
          <w:szCs w:val="24"/>
        </w:rPr>
        <w:t>MSD</w:t>
      </w:r>
      <w:r>
        <w:rPr>
          <w:rFonts w:hint="eastAsia" w:ascii="宋体" w:hAnsi="宋体" w:eastAsia="宋体" w:cs="Arial"/>
          <w:kern w:val="0"/>
          <w:sz w:val="24"/>
          <w:szCs w:val="24"/>
        </w:rPr>
        <w:t>，禁止带电操作。</w:t>
      </w:r>
    </w:p>
    <w:p w14:paraId="0A048D04">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8.2  动力</w:t>
      </w:r>
      <w:r>
        <w:rPr>
          <w:rFonts w:hint="eastAsia" w:ascii="宋体" w:hAnsi="宋体" w:eastAsia="宋体" w:cs="Arial"/>
          <w:kern w:val="0"/>
          <w:sz w:val="24"/>
          <w:szCs w:val="24"/>
        </w:rPr>
        <w:t>蓄电池系统进行维护及维修时，应由电池企业的技术人员或授权的专业维保服务企业专业人员操作。</w:t>
      </w:r>
    </w:p>
    <w:p w14:paraId="0DC46382">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8.3  动力</w:t>
      </w:r>
      <w:r>
        <w:rPr>
          <w:rFonts w:hint="eastAsia" w:ascii="宋体" w:hAnsi="宋体" w:eastAsia="宋体" w:cs="Arial"/>
          <w:kern w:val="0"/>
          <w:sz w:val="24"/>
          <w:szCs w:val="24"/>
        </w:rPr>
        <w:t>蓄电池系统充电过程中应有充电监控，当车辆出现异常报警时，应立即停止充电并断开高压。</w:t>
      </w:r>
    </w:p>
    <w:p w14:paraId="095AE9BB">
      <w:pPr>
        <w:spacing w:line="360" w:lineRule="auto"/>
        <w:ind w:firstLine="480" w:firstLineChars="200"/>
        <w:rPr>
          <w:rFonts w:hint="default" w:ascii="宋体" w:hAnsi="宋体" w:eastAsia="宋体" w:cs="Arial"/>
          <w:kern w:val="0"/>
          <w:sz w:val="24"/>
          <w:szCs w:val="24"/>
        </w:rPr>
      </w:pPr>
      <w:r>
        <w:rPr>
          <w:rFonts w:hint="default" w:ascii="宋体" w:hAnsi="宋体" w:eastAsia="宋体" w:cs="Arial"/>
          <w:kern w:val="0"/>
          <w:sz w:val="24"/>
          <w:szCs w:val="24"/>
        </w:rPr>
        <w:t xml:space="preserve">8.4  </w:t>
      </w:r>
      <w:r>
        <w:rPr>
          <w:rFonts w:hint="eastAsia" w:ascii="宋体" w:hAnsi="宋体" w:eastAsia="宋体" w:cs="Arial"/>
          <w:kern w:val="0"/>
          <w:sz w:val="24"/>
          <w:szCs w:val="24"/>
        </w:rPr>
        <w:t>整车实现电池状态全天候监控，在关闭总电源状态下，应定期将电池的电压、电流、绝缘以及故障信息上报给远程监控平台。</w:t>
      </w:r>
    </w:p>
    <w:p w14:paraId="58139D11">
      <w:pPr>
        <w:rPr>
          <w:rFonts w:ascii="宋体" w:hAnsi="宋体" w:eastAsia="宋体"/>
          <w:sz w:val="24"/>
          <w:szCs w:val="24"/>
        </w:rPr>
      </w:pPr>
      <w:r>
        <w:rPr>
          <w:rFonts w:ascii="宋体" w:hAnsi="宋体" w:eastAsia="宋体"/>
          <w:sz w:val="24"/>
          <w:szCs w:val="24"/>
        </w:rPr>
        <w:br w:type="page"/>
      </w:r>
    </w:p>
    <w:p w14:paraId="128D0DE5">
      <w:pPr>
        <w:pStyle w:val="2"/>
      </w:pPr>
    </w:p>
    <w:p w14:paraId="76CA6425">
      <w:pPr>
        <w:pStyle w:val="5"/>
        <w:spacing w:before="0" w:after="0" w:line="360" w:lineRule="auto"/>
        <w:ind w:firstLine="3920" w:firstLineChars="1400"/>
        <w:rPr>
          <w:rFonts w:ascii="宋体" w:hAnsi="宋体" w:eastAsia="宋体"/>
          <w:sz w:val="28"/>
          <w:szCs w:val="28"/>
        </w:rPr>
      </w:pPr>
      <w:bookmarkStart w:id="146" w:name="_Toc16131"/>
      <w:r>
        <w:rPr>
          <w:rFonts w:hint="eastAsia" w:ascii="宋体" w:hAnsi="宋体" w:eastAsia="宋体"/>
          <w:sz w:val="28"/>
          <w:szCs w:val="28"/>
        </w:rPr>
        <w:t>附 录 A</w:t>
      </w:r>
      <w:bookmarkEnd w:id="146"/>
    </w:p>
    <w:p w14:paraId="76AE0BB7">
      <w:pPr>
        <w:pStyle w:val="49"/>
        <w:numPr>
          <w:ilvl w:val="0"/>
          <w:numId w:val="0"/>
        </w:numPr>
        <w:tabs>
          <w:tab w:val="left" w:pos="360"/>
          <w:tab w:val="left" w:pos="6405"/>
        </w:tabs>
        <w:spacing w:before="0"/>
        <w:rPr>
          <w:rFonts w:hAnsi="Times New Roman" w:cs="Times New Roman"/>
          <w:sz w:val="24"/>
          <w:szCs w:val="24"/>
        </w:rPr>
      </w:pPr>
      <w:bookmarkStart w:id="147" w:name="_Toc5539"/>
      <w:r>
        <w:rPr>
          <w:rFonts w:hint="eastAsia" w:hAnsi="Times New Roman" w:cs="Times New Roman"/>
          <w:sz w:val="24"/>
          <w:szCs w:val="24"/>
        </w:rPr>
        <w:t>（</w:t>
      </w:r>
      <w:r>
        <w:rPr>
          <w:rFonts w:hint="eastAsia" w:hAnsi="Times New Roman" w:cs="Times New Roman"/>
          <w:sz w:val="24"/>
          <w:szCs w:val="24"/>
          <w:lang w:val="en-US" w:eastAsia="zh-CN"/>
        </w:rPr>
        <w:t>规范</w:t>
      </w:r>
      <w:r>
        <w:rPr>
          <w:rFonts w:hint="eastAsia" w:hAnsi="Times New Roman" w:cs="Times New Roman"/>
          <w:sz w:val="24"/>
          <w:szCs w:val="24"/>
        </w:rPr>
        <w:t>性附录）</w:t>
      </w:r>
      <w:bookmarkEnd w:id="147"/>
      <w:bookmarkStart w:id="148" w:name="_Toc156511408"/>
    </w:p>
    <w:bookmarkEnd w:id="148"/>
    <w:p w14:paraId="0887F992">
      <w:pPr>
        <w:pStyle w:val="49"/>
        <w:numPr>
          <w:ilvl w:val="0"/>
          <w:numId w:val="0"/>
        </w:numPr>
        <w:tabs>
          <w:tab w:val="left" w:pos="360"/>
          <w:tab w:val="left" w:pos="6405"/>
        </w:tabs>
        <w:spacing w:before="0"/>
        <w:rPr>
          <w:rFonts w:hint="eastAsia" w:hAnsi="Times New Roman" w:cs="Times New Roman"/>
          <w:sz w:val="24"/>
          <w:szCs w:val="24"/>
        </w:rPr>
      </w:pPr>
      <w:bookmarkStart w:id="149" w:name="_Toc21598"/>
      <w:r>
        <w:rPr>
          <w:rFonts w:hint="eastAsia" w:hAnsi="Times New Roman" w:cs="Times New Roman"/>
          <w:sz w:val="24"/>
          <w:szCs w:val="24"/>
        </w:rPr>
        <w:t>蓄电池独立式液冷热管理系统</w:t>
      </w:r>
      <w:bookmarkEnd w:id="149"/>
    </w:p>
    <w:p w14:paraId="33BD672E">
      <w:pPr>
        <w:pStyle w:val="49"/>
        <w:numPr>
          <w:ilvl w:val="0"/>
          <w:numId w:val="0"/>
        </w:numPr>
        <w:tabs>
          <w:tab w:val="left" w:pos="360"/>
          <w:tab w:val="left" w:pos="6405"/>
        </w:tabs>
        <w:spacing w:before="0"/>
        <w:rPr>
          <w:rFonts w:hAnsi="Times New Roman" w:cs="Times New Roman"/>
          <w:sz w:val="24"/>
          <w:szCs w:val="24"/>
        </w:rPr>
      </w:pPr>
    </w:p>
    <w:p w14:paraId="18C409F2">
      <w:pPr>
        <w:pStyle w:val="6"/>
        <w:numPr>
          <w:ilvl w:val="0"/>
          <w:numId w:val="0"/>
        </w:numPr>
        <w:tabs>
          <w:tab w:val="left" w:pos="360"/>
        </w:tabs>
        <w:spacing w:before="0" w:after="0" w:line="360" w:lineRule="auto"/>
        <w:ind w:leftChars="0"/>
        <w:jc w:val="left"/>
        <w:rPr>
          <w:rFonts w:ascii="宋体" w:hAnsi="宋体" w:eastAsia="宋体" w:cs="Times New Roman"/>
          <w:sz w:val="24"/>
          <w:szCs w:val="24"/>
        </w:rPr>
      </w:pPr>
      <w:bookmarkStart w:id="150" w:name="_Toc398"/>
      <w:r>
        <w:rPr>
          <w:rFonts w:hint="eastAsia" w:ascii="Times New Roman" w:hAnsi="Times New Roman" w:eastAsia="宋体" w:cs="Times New Roman"/>
          <w:b/>
          <w:bCs/>
          <w:kern w:val="2"/>
          <w:sz w:val="20"/>
          <w:szCs w:val="20"/>
          <w:lang w:val="en-US" w:eastAsia="zh-CN" w:bidi="ar-SA"/>
        </w:rPr>
        <w:t xml:space="preserve">A.1 </w:t>
      </w:r>
      <w:r>
        <w:rPr>
          <w:rFonts w:hint="eastAsia" w:ascii="宋体" w:hAnsi="宋体" w:eastAsia="宋体" w:cstheme="minorBidi"/>
          <w:b w:val="0"/>
          <w:bCs w:val="0"/>
          <w:kern w:val="2"/>
          <w:sz w:val="21"/>
          <w:szCs w:val="21"/>
          <w:lang w:val="en-US" w:eastAsia="zh-CN" w:bidi="ar-SA"/>
        </w:rPr>
        <w:t>冷却液工作温度范围：-40 ℃～＋80 ℃。</w:t>
      </w:r>
      <w:bookmarkEnd w:id="150"/>
    </w:p>
    <w:p w14:paraId="594B36B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default" w:ascii="Times New Roman" w:hAnsi="Times New Roman" w:eastAsia="宋体" w:cs="Times New Roman"/>
          <w:b/>
          <w:bCs/>
          <w:kern w:val="2"/>
          <w:sz w:val="20"/>
          <w:szCs w:val="20"/>
          <w:lang w:val="en-US" w:eastAsia="zh-CN" w:bidi="ar-SA"/>
        </w:rPr>
        <w:t>A.2</w:t>
      </w:r>
      <w:r>
        <w:rPr>
          <w:rFonts w:hint="default" w:ascii="宋体" w:hAnsi="宋体" w:eastAsia="宋体" w:cstheme="majorBidi"/>
          <w:b/>
          <w:bCs/>
          <w:kern w:val="2"/>
          <w:sz w:val="21"/>
          <w:szCs w:val="21"/>
          <w:lang w:val="en-US" w:eastAsia="zh-CN" w:bidi="ar-SA"/>
        </w:rPr>
        <w:t xml:space="preserve"> </w:t>
      </w:r>
      <w:r>
        <w:rPr>
          <w:rFonts w:hint="eastAsia" w:ascii="宋体" w:hAnsi="宋体" w:eastAsia="宋体" w:cstheme="majorBidi"/>
          <w:b/>
          <w:bCs/>
          <w:kern w:val="2"/>
          <w:sz w:val="21"/>
          <w:szCs w:val="21"/>
          <w:lang w:val="en-US" w:eastAsia="zh-CN" w:bidi="ar-SA"/>
        </w:rPr>
        <w:t xml:space="preserve"> </w:t>
      </w:r>
      <w:r>
        <w:rPr>
          <w:rFonts w:hint="eastAsia" w:ascii="宋体" w:hAnsi="宋体" w:eastAsia="宋体"/>
          <w:szCs w:val="21"/>
          <w:lang w:val="en-US" w:eastAsia="zh-CN"/>
        </w:rPr>
        <w:t>高压范围：DC400 V～DC750 V；低压范围：DC18 V～DC32 V。</w:t>
      </w:r>
    </w:p>
    <w:p w14:paraId="578377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A.3</w:t>
      </w:r>
      <w:r>
        <w:rPr>
          <w:rFonts w:hint="eastAsia" w:ascii="宋体" w:hAnsi="宋体" w:eastAsia="宋体"/>
          <w:szCs w:val="21"/>
          <w:lang w:val="en-US" w:eastAsia="zh-CN"/>
        </w:rPr>
        <w:t xml:space="preserve">  机组制冷采用蒸气压缩式制冷原理，制冷剂介质宜采用 R134a。冷暖型机组制热宜采用 PTC 液体加热器。</w:t>
      </w:r>
    </w:p>
    <w:p w14:paraId="272277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A.4 </w:t>
      </w:r>
      <w:r>
        <w:rPr>
          <w:rFonts w:hint="eastAsia" w:ascii="宋体" w:hAnsi="宋体" w:eastAsia="宋体"/>
          <w:szCs w:val="21"/>
          <w:lang w:val="en-US" w:eastAsia="zh-CN"/>
        </w:rPr>
        <w:t xml:space="preserve"> 冷却液宜采用为 50%水 + 50%乙二醇。</w:t>
      </w:r>
    </w:p>
    <w:p w14:paraId="29BBB3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A.5  </w:t>
      </w:r>
      <w:r>
        <w:rPr>
          <w:rFonts w:hint="eastAsia" w:ascii="宋体" w:hAnsi="宋体" w:eastAsia="宋体"/>
          <w:szCs w:val="21"/>
          <w:lang w:val="en-US" w:eastAsia="zh-CN"/>
        </w:rPr>
        <w:t>机组工作环境温度-40 ℃ ～60 ℃。</w:t>
      </w:r>
    </w:p>
    <w:p w14:paraId="3FA622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A.6 </w:t>
      </w:r>
      <w:r>
        <w:rPr>
          <w:rFonts w:hint="eastAsia" w:ascii="宋体" w:hAnsi="宋体" w:eastAsia="宋体" w:cstheme="majorBidi"/>
          <w:b/>
          <w:bCs/>
          <w:kern w:val="2"/>
          <w:sz w:val="21"/>
          <w:szCs w:val="21"/>
          <w:lang w:val="en-US" w:eastAsia="zh-CN" w:bidi="ar-SA"/>
        </w:rPr>
        <w:t xml:space="preserve"> </w:t>
      </w:r>
      <w:r>
        <w:rPr>
          <w:rFonts w:hint="eastAsia" w:ascii="宋体" w:hAnsi="宋体" w:eastAsia="宋体"/>
          <w:szCs w:val="21"/>
          <w:lang w:val="en-US" w:eastAsia="zh-CN"/>
        </w:rPr>
        <w:t>制冷量：在环境温度 38 ℃  ±1 ℃ -40 号乙二醇型冷却液，进液温度 25 ℃ ±1 ℃ ，冷却液流量（25±1.25）L/min 的条件下，采用焓差法测量冷却液侧的制冷量，实测制冷量不应小于要求的制冷量。</w:t>
      </w:r>
    </w:p>
    <w:p w14:paraId="2AF981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A.7  </w:t>
      </w:r>
      <w:r>
        <w:rPr>
          <w:rFonts w:hint="eastAsia" w:ascii="宋体" w:hAnsi="宋体" w:eastAsia="宋体"/>
          <w:szCs w:val="21"/>
          <w:lang w:val="en-US" w:eastAsia="zh-CN"/>
        </w:rPr>
        <w:t>制热量：在环境温度-10 ℃  ±1 ℃ -40 号乙二醇型冷却液，进液温度-10 ℃  ±1 ℃ ，冷却液流量（25±1.25）L/min 的条件下，采用焓差法测量冷却液侧的制热量，实测制热量不应小于要求的制热量。</w:t>
      </w:r>
    </w:p>
    <w:p w14:paraId="6A125C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default" w:ascii="Times New Roman" w:hAnsi="Times New Roman" w:eastAsia="宋体" w:cs="Times New Roman"/>
          <w:b/>
          <w:bCs/>
          <w:kern w:val="2"/>
          <w:sz w:val="20"/>
          <w:szCs w:val="20"/>
          <w:lang w:val="en-US" w:eastAsia="zh-CN" w:bidi="ar-SA"/>
        </w:rPr>
        <w:t>A.8</w:t>
      </w:r>
      <w:r>
        <w:rPr>
          <w:rFonts w:hint="eastAsia" w:ascii="宋体" w:hAnsi="宋体" w:eastAsia="宋体"/>
          <w:szCs w:val="21"/>
          <w:lang w:val="en-US" w:eastAsia="zh-CN"/>
        </w:rPr>
        <w:t xml:space="preserve">  制冷能效比：在 A.6 项条件下，制冷量/制冷输入功率应大于等于 2。</w:t>
      </w:r>
    </w:p>
    <w:p w14:paraId="3EEE96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A.9</w:t>
      </w:r>
      <w:r>
        <w:rPr>
          <w:rFonts w:hint="eastAsia" w:ascii="宋体" w:hAnsi="宋体" w:eastAsia="宋体"/>
          <w:szCs w:val="21"/>
          <w:lang w:val="en-US" w:eastAsia="zh-CN"/>
        </w:rPr>
        <w:t xml:space="preserve">  制热能效比：在 A.7 项条件下，制热量/制热输入功率应大于等于 0.95。</w:t>
      </w:r>
    </w:p>
    <w:p w14:paraId="3D2D9E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A.10 </w:t>
      </w:r>
      <w:r>
        <w:rPr>
          <w:rFonts w:hint="eastAsia" w:ascii="宋体" w:hAnsi="宋体" w:eastAsia="宋体"/>
          <w:szCs w:val="21"/>
          <w:lang w:val="en-US" w:eastAsia="zh-CN"/>
        </w:rPr>
        <w:t xml:space="preserve"> 机组应有冷媒高压、低压保护功能，当高压压力≥2.5 MPa 时，停机、报警；当低压压力≤0.05 MPa 时，停机、报警。电气系统应有过载、短路、高温等保护，且灵敏、可靠；PTC 加热器应有过热保护和超高温保护两级保护，超高温保护功能在控制器故障时不应失效。</w:t>
      </w:r>
    </w:p>
    <w:p w14:paraId="0772F8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A.11</w:t>
      </w:r>
      <w:r>
        <w:rPr>
          <w:rFonts w:hint="eastAsia" w:ascii="宋体" w:hAnsi="宋体" w:eastAsia="宋体"/>
          <w:szCs w:val="21"/>
          <w:lang w:val="en-US" w:eastAsia="zh-CN"/>
        </w:rPr>
        <w:t xml:space="preserve">  机组高压电器部件防护等级应满足 IP67 的使用工况。</w:t>
      </w:r>
    </w:p>
    <w:p w14:paraId="634A2D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A.12 </w:t>
      </w:r>
      <w:r>
        <w:rPr>
          <w:rFonts w:hint="eastAsia" w:ascii="宋体" w:hAnsi="宋体" w:eastAsia="宋体"/>
          <w:szCs w:val="21"/>
          <w:lang w:val="en-US" w:eastAsia="zh-CN"/>
        </w:rPr>
        <w:t xml:space="preserve"> 制热模式时，上、下高压、液位、PTC、水泵、出水温度传感器、入水温度传感器、BMS 通讯、PTC 通讯、高压电压在合理范围内、上高压完成等全部正常，才启动制热。</w:t>
      </w:r>
    </w:p>
    <w:p w14:paraId="3AAD21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A.13 </w:t>
      </w:r>
      <w:r>
        <w:rPr>
          <w:rFonts w:hint="eastAsia" w:ascii="宋体" w:hAnsi="宋体" w:eastAsia="宋体"/>
          <w:szCs w:val="21"/>
          <w:lang w:val="en-US" w:eastAsia="zh-CN"/>
        </w:rPr>
        <w:t xml:space="preserve"> 整车应将机组液位报警信号在仪表台显示，缺液时压缩机、水泵、PTC 均停止工作，需要补液后机组才能重新启动工作。</w:t>
      </w:r>
    </w:p>
    <w:p w14:paraId="1C612C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A.14</w:t>
      </w:r>
      <w:r>
        <w:rPr>
          <w:rFonts w:hint="eastAsia" w:ascii="宋体" w:hAnsi="宋体" w:eastAsia="宋体"/>
          <w:szCs w:val="21"/>
          <w:lang w:val="en-US" w:eastAsia="zh-CN"/>
        </w:rPr>
        <w:t xml:space="preserve">  机组 EMC 需满足表 A.1 要求：</w:t>
      </w:r>
    </w:p>
    <w:p w14:paraId="0C209F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p>
    <w:p w14:paraId="0975BD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表 A.1 蓄电池水冷热管理系统机组EMC测试要求表</w:t>
      </w:r>
    </w:p>
    <w:tbl>
      <w:tblPr>
        <w:tblStyle w:val="51"/>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2311"/>
        <w:gridCol w:w="3302"/>
        <w:gridCol w:w="3261"/>
      </w:tblGrid>
      <w:tr w14:paraId="2F6D0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19" w:type="dxa"/>
          </w:tcPr>
          <w:p w14:paraId="1C5B1D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序号</w:t>
            </w:r>
          </w:p>
        </w:tc>
        <w:tc>
          <w:tcPr>
            <w:tcW w:w="2311" w:type="dxa"/>
          </w:tcPr>
          <w:p w14:paraId="02BB07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试验名称</w:t>
            </w:r>
          </w:p>
        </w:tc>
        <w:tc>
          <w:tcPr>
            <w:tcW w:w="3302" w:type="dxa"/>
          </w:tcPr>
          <w:p w14:paraId="20A45CA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测试方法</w:t>
            </w:r>
          </w:p>
        </w:tc>
        <w:tc>
          <w:tcPr>
            <w:tcW w:w="3261" w:type="dxa"/>
          </w:tcPr>
          <w:p w14:paraId="25DD3F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功能状态等级要求</w:t>
            </w:r>
          </w:p>
        </w:tc>
      </w:tr>
      <w:tr w14:paraId="1AD1D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619" w:type="dxa"/>
            <w:vAlign w:val="center"/>
          </w:tcPr>
          <w:p w14:paraId="3F3FCA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1</w:t>
            </w:r>
          </w:p>
        </w:tc>
        <w:tc>
          <w:tcPr>
            <w:tcW w:w="2311" w:type="dxa"/>
          </w:tcPr>
          <w:p w14:paraId="6A8EDA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电磁辐射骚扰抗扰性</w:t>
            </w:r>
          </w:p>
          <w:p w14:paraId="6E0E66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——自由场法</w:t>
            </w:r>
          </w:p>
        </w:tc>
        <w:tc>
          <w:tcPr>
            <w:tcW w:w="3302" w:type="dxa"/>
            <w:vAlign w:val="center"/>
          </w:tcPr>
          <w:p w14:paraId="6291AF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33014.2-2016表C.1等级L3进行试验</w:t>
            </w:r>
          </w:p>
        </w:tc>
        <w:tc>
          <w:tcPr>
            <w:tcW w:w="3261" w:type="dxa"/>
          </w:tcPr>
          <w:p w14:paraId="19E366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应满足GB/T33014.1-2016 附录A定义的I级要求</w:t>
            </w:r>
          </w:p>
        </w:tc>
      </w:tr>
      <w:tr w14:paraId="28F7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19" w:type="dxa"/>
            <w:vAlign w:val="center"/>
          </w:tcPr>
          <w:p w14:paraId="7FEEDF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2</w:t>
            </w:r>
          </w:p>
        </w:tc>
        <w:tc>
          <w:tcPr>
            <w:tcW w:w="2311" w:type="dxa"/>
          </w:tcPr>
          <w:p w14:paraId="5E9930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电磁辐射骚扰抗扰性</w:t>
            </w:r>
          </w:p>
          <w:p w14:paraId="3B7716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——大电流注入法</w:t>
            </w:r>
          </w:p>
        </w:tc>
        <w:tc>
          <w:tcPr>
            <w:tcW w:w="3302" w:type="dxa"/>
            <w:vAlign w:val="center"/>
          </w:tcPr>
          <w:p w14:paraId="00ACFF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33014.4-2016表C.1等级L3进行试验</w:t>
            </w:r>
          </w:p>
        </w:tc>
        <w:tc>
          <w:tcPr>
            <w:tcW w:w="3261" w:type="dxa"/>
          </w:tcPr>
          <w:p w14:paraId="200417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应满足GB/T33014.1-2016 附录A定义的I级要求</w:t>
            </w:r>
          </w:p>
        </w:tc>
      </w:tr>
      <w:tr w14:paraId="29A0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19" w:type="dxa"/>
            <w:vAlign w:val="center"/>
          </w:tcPr>
          <w:p w14:paraId="72F81A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3</w:t>
            </w:r>
          </w:p>
        </w:tc>
        <w:tc>
          <w:tcPr>
            <w:tcW w:w="2311" w:type="dxa"/>
            <w:vAlign w:val="center"/>
          </w:tcPr>
          <w:p w14:paraId="184DFB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瞬态抗扰</w:t>
            </w:r>
          </w:p>
          <w:p w14:paraId="235B018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——（信号线）</w:t>
            </w:r>
          </w:p>
        </w:tc>
        <w:tc>
          <w:tcPr>
            <w:tcW w:w="3302" w:type="dxa"/>
            <w:vAlign w:val="center"/>
          </w:tcPr>
          <w:p w14:paraId="552D87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21437.3-2012附录B等级Ⅲ 进行试验</w:t>
            </w:r>
          </w:p>
        </w:tc>
        <w:tc>
          <w:tcPr>
            <w:tcW w:w="3261" w:type="dxa"/>
          </w:tcPr>
          <w:p w14:paraId="5D6A64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应满足GB/T33014.1-2016 附录A定义的I级要求</w:t>
            </w:r>
          </w:p>
        </w:tc>
      </w:tr>
    </w:tbl>
    <w:p w14:paraId="3D359B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p>
    <w:p w14:paraId="207300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表 A.1 蓄电池水冷热管理系统机组EMC测试要求表（续）</w:t>
      </w:r>
    </w:p>
    <w:tbl>
      <w:tblPr>
        <w:tblStyle w:val="51"/>
        <w:tblW w:w="929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182"/>
        <w:gridCol w:w="3210"/>
        <w:gridCol w:w="3202"/>
      </w:tblGrid>
      <w:tr w14:paraId="4605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04" w:type="dxa"/>
            <w:tcBorders>
              <w:bottom w:val="single" w:color="000000" w:sz="6" w:space="0"/>
            </w:tcBorders>
          </w:tcPr>
          <w:p w14:paraId="40DADB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序号</w:t>
            </w:r>
          </w:p>
        </w:tc>
        <w:tc>
          <w:tcPr>
            <w:tcW w:w="2182" w:type="dxa"/>
            <w:tcBorders>
              <w:bottom w:val="single" w:color="000000" w:sz="6" w:space="0"/>
            </w:tcBorders>
            <w:vAlign w:val="center"/>
          </w:tcPr>
          <w:p w14:paraId="055C09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试验名称</w:t>
            </w:r>
          </w:p>
        </w:tc>
        <w:tc>
          <w:tcPr>
            <w:tcW w:w="3210" w:type="dxa"/>
            <w:tcBorders>
              <w:bottom w:val="single" w:color="000000" w:sz="6" w:space="0"/>
            </w:tcBorders>
            <w:vAlign w:val="center"/>
          </w:tcPr>
          <w:p w14:paraId="477789C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测试方法</w:t>
            </w:r>
          </w:p>
        </w:tc>
        <w:tc>
          <w:tcPr>
            <w:tcW w:w="3202" w:type="dxa"/>
            <w:tcBorders>
              <w:bottom w:val="single" w:color="000000" w:sz="6" w:space="0"/>
            </w:tcBorders>
          </w:tcPr>
          <w:p w14:paraId="3B01642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功能状态等级要求</w:t>
            </w:r>
          </w:p>
        </w:tc>
      </w:tr>
      <w:tr w14:paraId="42FA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4" w:type="dxa"/>
            <w:vAlign w:val="center"/>
          </w:tcPr>
          <w:p w14:paraId="13CD44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4</w:t>
            </w:r>
          </w:p>
        </w:tc>
        <w:tc>
          <w:tcPr>
            <w:tcW w:w="2182" w:type="dxa"/>
            <w:vAlign w:val="center"/>
          </w:tcPr>
          <w:p w14:paraId="6F3160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电磁骚扰特性</w:t>
            </w:r>
          </w:p>
          <w:p w14:paraId="1078AC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——传导骚扰性</w:t>
            </w:r>
          </w:p>
        </w:tc>
        <w:tc>
          <w:tcPr>
            <w:tcW w:w="3210" w:type="dxa"/>
            <w:vAlign w:val="center"/>
          </w:tcPr>
          <w:p w14:paraId="7F2239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18655-2018中6.3、6.4规定的试验方法进行试验</w:t>
            </w:r>
          </w:p>
        </w:tc>
        <w:tc>
          <w:tcPr>
            <w:tcW w:w="3202" w:type="dxa"/>
          </w:tcPr>
          <w:p w14:paraId="351FD0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满足GB/T 18655-2018中6.3.4和6.4.3等级3限值要求，其中GB/T 18655-2018未明确频段的限值按照临近限值直线连接确定</w:t>
            </w:r>
          </w:p>
        </w:tc>
      </w:tr>
      <w:tr w14:paraId="18F7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704" w:type="dxa"/>
            <w:vAlign w:val="center"/>
          </w:tcPr>
          <w:p w14:paraId="75DCF6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5</w:t>
            </w:r>
          </w:p>
        </w:tc>
        <w:tc>
          <w:tcPr>
            <w:tcW w:w="2182" w:type="dxa"/>
            <w:vAlign w:val="center"/>
          </w:tcPr>
          <w:p w14:paraId="46D743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电磁骚扰特性</w:t>
            </w:r>
          </w:p>
          <w:p w14:paraId="48D9F6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——辐射骚扰性</w:t>
            </w:r>
          </w:p>
        </w:tc>
        <w:tc>
          <w:tcPr>
            <w:tcW w:w="3210" w:type="dxa"/>
            <w:vAlign w:val="center"/>
          </w:tcPr>
          <w:p w14:paraId="73BB4D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18655-2018中6.5规定的试验方法进行试验</w:t>
            </w:r>
          </w:p>
        </w:tc>
        <w:tc>
          <w:tcPr>
            <w:tcW w:w="3202" w:type="dxa"/>
          </w:tcPr>
          <w:p w14:paraId="3B98BB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满足GB/T 18655-2018中 6.5.4 等级3限值要求，其中GB/T 18655-2018未明确频段的限值按照临近限值直线连接确定</w:t>
            </w:r>
          </w:p>
        </w:tc>
      </w:tr>
      <w:tr w14:paraId="0546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1" w:hRule="atLeast"/>
        </w:trPr>
        <w:tc>
          <w:tcPr>
            <w:tcW w:w="704" w:type="dxa"/>
            <w:tcBorders>
              <w:top w:val="single" w:color="000000" w:sz="6" w:space="0"/>
              <w:bottom w:val="single" w:color="000000" w:sz="6" w:space="0"/>
            </w:tcBorders>
            <w:vAlign w:val="center"/>
          </w:tcPr>
          <w:p w14:paraId="32A12CE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6</w:t>
            </w:r>
          </w:p>
        </w:tc>
        <w:tc>
          <w:tcPr>
            <w:tcW w:w="2182" w:type="dxa"/>
            <w:tcBorders>
              <w:top w:val="single" w:color="000000" w:sz="6" w:space="0"/>
              <w:bottom w:val="single" w:color="000000" w:sz="6" w:space="0"/>
            </w:tcBorders>
            <w:vAlign w:val="center"/>
          </w:tcPr>
          <w:p w14:paraId="722DFA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电磁瞬变抗扰性</w:t>
            </w:r>
          </w:p>
          <w:p w14:paraId="667C78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（沿电源线）</w:t>
            </w:r>
          </w:p>
        </w:tc>
        <w:tc>
          <w:tcPr>
            <w:tcW w:w="3210" w:type="dxa"/>
            <w:tcBorders>
              <w:top w:val="single" w:color="000000" w:sz="6" w:space="0"/>
              <w:bottom w:val="single" w:color="000000" w:sz="6" w:space="0"/>
            </w:tcBorders>
            <w:vAlign w:val="center"/>
          </w:tcPr>
          <w:p w14:paraId="123D03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21437.2-2021中试验方法以及附录A中表A.2试验脉冲等级进行试验</w:t>
            </w:r>
          </w:p>
        </w:tc>
        <w:tc>
          <w:tcPr>
            <w:tcW w:w="3202" w:type="dxa"/>
            <w:tcBorders>
              <w:top w:val="single" w:color="000000" w:sz="6" w:space="0"/>
              <w:bottom w:val="single" w:color="000000" w:sz="6" w:space="0"/>
            </w:tcBorders>
          </w:tcPr>
          <w:p w14:paraId="422D19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脉冲1满足GB/T 21437.2-2021附录A定义的C级要求</w:t>
            </w:r>
          </w:p>
          <w:p w14:paraId="67937D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脉冲2a满足GB/T 21437.2-2021附录A定义的A级要求</w:t>
            </w:r>
          </w:p>
          <w:p w14:paraId="722181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脉冲2b满足GB/T 21437.2-2021附录A定义的C级要求</w:t>
            </w:r>
          </w:p>
          <w:p w14:paraId="23743D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脉冲3a满足GB/T 21437.2-2021附录A定义的A级要求</w:t>
            </w:r>
          </w:p>
          <w:p w14:paraId="4506CD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脉冲3b满足GB/T 21437.2-2021附录A定义的A级要求</w:t>
            </w:r>
          </w:p>
          <w:p w14:paraId="5D11FB0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脉冲4满足GB/T 21437.2-2021附录A定义的C级要求</w:t>
            </w:r>
          </w:p>
          <w:p w14:paraId="68A619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脉冲5a满足GB/T 21437.2-2021附录A定义的A级要求</w:t>
            </w:r>
          </w:p>
        </w:tc>
      </w:tr>
    </w:tbl>
    <w:p w14:paraId="70E4B5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p>
    <w:p w14:paraId="0384A36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p>
    <w:p w14:paraId="610D42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表 A.1 蓄电池水冷热管理系统机组EMC测试要求表（续）</w:t>
      </w:r>
    </w:p>
    <w:tbl>
      <w:tblPr>
        <w:tblStyle w:val="51"/>
        <w:tblW w:w="929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197"/>
        <w:gridCol w:w="3337"/>
        <w:gridCol w:w="3060"/>
      </w:tblGrid>
      <w:tr w14:paraId="321E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04" w:type="dxa"/>
            <w:vAlign w:val="center"/>
          </w:tcPr>
          <w:p w14:paraId="00DE35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7</w:t>
            </w:r>
          </w:p>
        </w:tc>
        <w:tc>
          <w:tcPr>
            <w:tcW w:w="2197" w:type="dxa"/>
            <w:vAlign w:val="center"/>
          </w:tcPr>
          <w:p w14:paraId="7DB07F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静电放电</w:t>
            </w:r>
          </w:p>
        </w:tc>
        <w:tc>
          <w:tcPr>
            <w:tcW w:w="3337" w:type="dxa"/>
            <w:vAlign w:val="center"/>
          </w:tcPr>
          <w:p w14:paraId="24B64A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19951-2019中规定的试验方法以及附录C中表C.1/C.2/C.3中严酷等级进行试验</w:t>
            </w:r>
          </w:p>
        </w:tc>
        <w:tc>
          <w:tcPr>
            <w:tcW w:w="3060" w:type="dxa"/>
            <w:vAlign w:val="center"/>
          </w:tcPr>
          <w:p w14:paraId="500385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应满足GB/T33014.1-2016 附录A定义的I级要求</w:t>
            </w:r>
          </w:p>
        </w:tc>
      </w:tr>
      <w:tr w14:paraId="3119F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04" w:type="dxa"/>
            <w:vAlign w:val="center"/>
          </w:tcPr>
          <w:p w14:paraId="5E0865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8</w:t>
            </w:r>
          </w:p>
        </w:tc>
        <w:tc>
          <w:tcPr>
            <w:tcW w:w="2197" w:type="dxa"/>
            <w:vAlign w:val="center"/>
          </w:tcPr>
          <w:p w14:paraId="472134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叠加交流电</w:t>
            </w:r>
          </w:p>
        </w:tc>
        <w:tc>
          <w:tcPr>
            <w:tcW w:w="3337" w:type="dxa"/>
            <w:vAlign w:val="center"/>
          </w:tcPr>
          <w:p w14:paraId="0E7CD4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按照GB/T 28046.2-2019中4.4.2严酷等级3要求进行试验</w:t>
            </w:r>
          </w:p>
        </w:tc>
        <w:tc>
          <w:tcPr>
            <w:tcW w:w="3060" w:type="dxa"/>
            <w:vAlign w:val="center"/>
          </w:tcPr>
          <w:p w14:paraId="4262D8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应满足GB/T28046.1-2011 第6章定义的A级要求</w:t>
            </w:r>
          </w:p>
        </w:tc>
      </w:tr>
    </w:tbl>
    <w:p w14:paraId="463994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p>
    <w:p w14:paraId="2F4435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A.15 </w:t>
      </w:r>
      <w:r>
        <w:rPr>
          <w:rFonts w:hint="eastAsia" w:ascii="宋体" w:hAnsi="宋体" w:eastAsia="宋体"/>
          <w:szCs w:val="21"/>
          <w:lang w:val="en-US" w:eastAsia="zh-CN"/>
        </w:rPr>
        <w:t xml:space="preserve"> 耐电压要求：在高压电路与接地外壳之间施加频率 50 Hz～ 60 Hz的交流电压 1 min/2500V或施加等效直流电压1min/3600V，不发生介质击穿或电弧现象，耐压测试后能正常通信。</w:t>
      </w:r>
    </w:p>
    <w:p w14:paraId="3ACCDD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A.16 </w:t>
      </w:r>
      <w:r>
        <w:rPr>
          <w:rFonts w:hint="eastAsia" w:ascii="宋体" w:hAnsi="宋体" w:eastAsia="宋体"/>
          <w:szCs w:val="21"/>
          <w:lang w:val="en-US" w:eastAsia="zh-CN"/>
        </w:rPr>
        <w:t xml:space="preserve"> 绝缘特性要求：在水冷机组的高压电路和机组壳体之间施加1000 VDC的电压进行绝缘电阻测量，绝缘电阻&gt;50 MΩ。</w:t>
      </w:r>
    </w:p>
    <w:p w14:paraId="2C9136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A.17</w:t>
      </w:r>
      <w:r>
        <w:rPr>
          <w:rFonts w:hint="eastAsia" w:ascii="宋体" w:hAnsi="宋体" w:eastAsia="宋体"/>
          <w:szCs w:val="21"/>
          <w:lang w:val="en-US" w:eastAsia="zh-CN"/>
        </w:rPr>
        <w:t xml:space="preserve">  机组具备CAN通讯功能。</w:t>
      </w:r>
    </w:p>
    <w:p w14:paraId="5987B2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A.18</w:t>
      </w:r>
      <w:r>
        <w:rPr>
          <w:rFonts w:hint="eastAsia" w:ascii="宋体" w:hAnsi="宋体" w:eastAsia="宋体"/>
          <w:szCs w:val="21"/>
          <w:lang w:val="en-US" w:eastAsia="zh-CN"/>
        </w:rPr>
        <w:t xml:space="preserve">  机组应具备自诊断功能和全时故障反馈功能，并可追溯，如冷却循环故障反馈功能等。</w:t>
      </w:r>
    </w:p>
    <w:p w14:paraId="61B0AD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 xml:space="preserve">A.19 </w:t>
      </w:r>
      <w:r>
        <w:rPr>
          <w:rFonts w:hint="eastAsia" w:ascii="宋体" w:hAnsi="宋体" w:eastAsia="宋体"/>
          <w:szCs w:val="21"/>
          <w:lang w:val="en-US" w:eastAsia="zh-CN"/>
        </w:rPr>
        <w:t xml:space="preserve"> 机组应具备自主对冷却液循环管路排气的功能。</w:t>
      </w:r>
    </w:p>
    <w:p w14:paraId="39D5192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pPr>
      <w:r>
        <w:rPr>
          <w:rFonts w:hint="eastAsia" w:ascii="Times New Roman" w:hAnsi="Times New Roman" w:eastAsia="宋体" w:cs="Times New Roman"/>
          <w:b/>
          <w:bCs/>
          <w:kern w:val="2"/>
          <w:sz w:val="20"/>
          <w:szCs w:val="20"/>
          <w:lang w:val="en-US" w:eastAsia="zh-CN" w:bidi="ar-SA"/>
        </w:rPr>
        <w:t>A.20</w:t>
      </w:r>
      <w:r>
        <w:rPr>
          <w:rFonts w:hint="eastAsia" w:ascii="宋体" w:hAnsi="宋体" w:eastAsia="宋体"/>
          <w:szCs w:val="21"/>
          <w:lang w:val="en-US" w:eastAsia="zh-CN"/>
        </w:rPr>
        <w:t xml:space="preserve">  水冷机组的金属壳体和接地端之间电阻＜0.1 Ω。</w:t>
      </w:r>
    </w:p>
    <w:p w14:paraId="616784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lang w:val="en-US" w:eastAsia="zh-CN"/>
        </w:rPr>
        <w:sectPr>
          <w:footerReference r:id="rId5" w:type="first"/>
          <w:footerReference r:id="rId4" w:type="default"/>
          <w:type w:val="continuous"/>
          <w:pgSz w:w="11906" w:h="16838"/>
          <w:pgMar w:top="1418" w:right="1361" w:bottom="1418" w:left="1418" w:header="851" w:footer="992" w:gutter="0"/>
          <w:pgNumType w:start="1"/>
          <w:cols w:space="425" w:num="1"/>
          <w:titlePg/>
          <w:docGrid w:type="linesAndChars" w:linePitch="326" w:charSpace="0"/>
        </w:sectPr>
      </w:pPr>
      <w:r>
        <w:rPr>
          <w:rFonts w:hint="eastAsia" w:ascii="Times New Roman" w:hAnsi="Times New Roman" w:eastAsia="宋体" w:cs="Times New Roman"/>
          <w:b/>
          <w:bCs/>
          <w:kern w:val="2"/>
          <w:sz w:val="20"/>
          <w:szCs w:val="20"/>
          <w:lang w:val="en-US" w:eastAsia="zh-CN" w:bidi="ar-SA"/>
        </w:rPr>
        <w:t>A.21</w:t>
      </w:r>
      <w:r>
        <w:rPr>
          <w:rFonts w:hint="eastAsia" w:ascii="宋体" w:hAnsi="宋体" w:eastAsia="宋体"/>
          <w:szCs w:val="21"/>
          <w:lang w:val="en-US" w:eastAsia="zh-CN"/>
        </w:rPr>
        <w:t xml:space="preserve">  机组应便于安装，便于检修。</w:t>
      </w:r>
    </w:p>
    <w:p w14:paraId="53054369"/>
    <w:p w14:paraId="1F45069E">
      <w:r>
        <w:br w:type="page"/>
      </w:r>
    </w:p>
    <w:p w14:paraId="44418EBD">
      <w:pPr>
        <w:pStyle w:val="2"/>
      </w:pPr>
    </w:p>
    <w:p w14:paraId="3C3A76E4">
      <w:pPr>
        <w:pStyle w:val="5"/>
        <w:spacing w:before="0" w:after="0" w:line="360" w:lineRule="auto"/>
        <w:ind w:firstLine="3935" w:firstLineChars="1400"/>
        <w:rPr>
          <w:rFonts w:hint="eastAsia" w:ascii="宋体" w:hAnsi="宋体" w:eastAsia="宋体"/>
          <w:sz w:val="28"/>
          <w:szCs w:val="28"/>
          <w:lang w:eastAsia="zh-CN"/>
        </w:rPr>
      </w:pPr>
      <w:bookmarkStart w:id="151" w:name="_Toc27212"/>
      <w:r>
        <w:rPr>
          <w:rFonts w:hint="eastAsia" w:ascii="宋体" w:hAnsi="宋体" w:eastAsia="宋体"/>
          <w:sz w:val="28"/>
          <w:szCs w:val="28"/>
        </w:rPr>
        <w:t xml:space="preserve">附 录 </w:t>
      </w:r>
      <w:r>
        <w:rPr>
          <w:rFonts w:hint="eastAsia" w:ascii="宋体" w:hAnsi="宋体" w:eastAsia="宋体"/>
          <w:sz w:val="28"/>
          <w:szCs w:val="28"/>
          <w:lang w:val="en-US" w:eastAsia="zh-CN"/>
        </w:rPr>
        <w:t>B</w:t>
      </w:r>
      <w:bookmarkEnd w:id="151"/>
    </w:p>
    <w:p w14:paraId="1C011DA3">
      <w:pPr>
        <w:pStyle w:val="49"/>
        <w:numPr>
          <w:ilvl w:val="0"/>
          <w:numId w:val="0"/>
        </w:numPr>
        <w:tabs>
          <w:tab w:val="left" w:pos="360"/>
          <w:tab w:val="left" w:pos="6405"/>
        </w:tabs>
        <w:spacing w:before="0"/>
        <w:rPr>
          <w:rFonts w:hAnsi="Times New Roman" w:cs="Times New Roman"/>
          <w:sz w:val="24"/>
          <w:szCs w:val="24"/>
        </w:rPr>
      </w:pPr>
      <w:bookmarkStart w:id="152" w:name="_Toc6611"/>
      <w:r>
        <w:rPr>
          <w:rFonts w:hint="eastAsia" w:hAnsi="Times New Roman" w:cs="Times New Roman"/>
          <w:sz w:val="24"/>
          <w:szCs w:val="24"/>
        </w:rPr>
        <w:t>（</w:t>
      </w:r>
      <w:r>
        <w:rPr>
          <w:rFonts w:hint="eastAsia" w:hAnsi="Times New Roman" w:cs="Times New Roman"/>
          <w:sz w:val="24"/>
          <w:szCs w:val="24"/>
          <w:lang w:val="en-US" w:eastAsia="zh-CN"/>
        </w:rPr>
        <w:t>规范</w:t>
      </w:r>
      <w:r>
        <w:rPr>
          <w:rFonts w:hint="eastAsia" w:hAnsi="Times New Roman" w:cs="Times New Roman"/>
          <w:sz w:val="24"/>
          <w:szCs w:val="24"/>
        </w:rPr>
        <w:t>性附录）</w:t>
      </w:r>
      <w:bookmarkEnd w:id="152"/>
    </w:p>
    <w:p w14:paraId="1E3AEF4F">
      <w:pPr>
        <w:pStyle w:val="49"/>
        <w:numPr>
          <w:ilvl w:val="0"/>
          <w:numId w:val="0"/>
        </w:numPr>
        <w:tabs>
          <w:tab w:val="left" w:pos="360"/>
          <w:tab w:val="left" w:pos="6405"/>
        </w:tabs>
        <w:spacing w:before="0"/>
        <w:rPr>
          <w:rFonts w:hint="eastAsia" w:hAnsi="Times New Roman" w:cs="Times New Roman"/>
          <w:sz w:val="24"/>
          <w:szCs w:val="24"/>
        </w:rPr>
      </w:pPr>
      <w:bookmarkStart w:id="153" w:name="_Toc24037"/>
      <w:r>
        <w:rPr>
          <w:rFonts w:hint="eastAsia" w:hAnsi="Times New Roman" w:cs="Times New Roman"/>
          <w:sz w:val="24"/>
          <w:szCs w:val="24"/>
        </w:rPr>
        <w:t>蓄电池火灾防控装置</w:t>
      </w:r>
      <w:bookmarkEnd w:id="153"/>
    </w:p>
    <w:p w14:paraId="1B52F7B0">
      <w:pPr>
        <w:rPr>
          <w:rFonts w:hint="eastAsia"/>
        </w:rPr>
      </w:pPr>
    </w:p>
    <w:p w14:paraId="40126CC2">
      <w:pPr>
        <w:pStyle w:val="6"/>
        <w:numPr>
          <w:ilvl w:val="0"/>
          <w:numId w:val="0"/>
        </w:numPr>
        <w:tabs>
          <w:tab w:val="left" w:pos="360"/>
        </w:tabs>
        <w:spacing w:before="0" w:after="0" w:line="360" w:lineRule="auto"/>
        <w:ind w:leftChars="0"/>
        <w:jc w:val="left"/>
        <w:rPr>
          <w:rFonts w:hint="eastAsia" w:ascii="宋体" w:hAnsi="宋体" w:eastAsia="宋体"/>
          <w:sz w:val="21"/>
          <w:szCs w:val="21"/>
        </w:rPr>
      </w:pPr>
      <w:bookmarkStart w:id="154" w:name="_Toc10734"/>
      <w:bookmarkStart w:id="155" w:name="_Toc132033726"/>
      <w:bookmarkStart w:id="156" w:name="_Toc151111035"/>
      <w:bookmarkStart w:id="157" w:name="_Toc29257"/>
      <w:r>
        <w:rPr>
          <w:rFonts w:hint="eastAsia" w:ascii="Times New Roman" w:hAnsi="Times New Roman" w:eastAsia="宋体" w:cs="Times New Roman"/>
          <w:b/>
          <w:bCs/>
          <w:kern w:val="2"/>
          <w:sz w:val="20"/>
          <w:szCs w:val="20"/>
          <w:lang w:val="en-US" w:eastAsia="zh-CN" w:bidi="ar-SA"/>
        </w:rPr>
        <w:t xml:space="preserve">B.1 </w:t>
      </w:r>
      <w:r>
        <w:rPr>
          <w:rFonts w:hint="eastAsia" w:ascii="宋体" w:hAnsi="宋体" w:eastAsia="宋体"/>
          <w:sz w:val="21"/>
          <w:szCs w:val="21"/>
        </w:rPr>
        <w:t xml:space="preserve"> 系统架构</w:t>
      </w:r>
      <w:bookmarkEnd w:id="154"/>
      <w:bookmarkEnd w:id="155"/>
      <w:bookmarkEnd w:id="156"/>
      <w:bookmarkEnd w:id="157"/>
    </w:p>
    <w:p w14:paraId="0DA490B7">
      <w:pPr>
        <w:spacing w:line="360" w:lineRule="auto"/>
        <w:ind w:firstLine="420" w:firstLineChars="200"/>
        <w:rPr>
          <w:rFonts w:hint="eastAsia" w:ascii="宋体" w:hAnsi="宋体" w:eastAsia="宋体"/>
          <w:szCs w:val="21"/>
        </w:rPr>
      </w:pPr>
      <w:r>
        <w:rPr>
          <w:rFonts w:hint="eastAsia" w:ascii="宋体" w:hAnsi="宋体" w:eastAsia="宋体"/>
          <w:szCs w:val="21"/>
        </w:rPr>
        <w:t>火灾防控装置由火灾抑制装置和复合型火灾探测装置组成。集合温度、烟雾、可燃气体三种探测方式监测电池分布区域的环境状态，在出现灾情时报警启动开关发出声和光报警信号，同时启动抑制剂喷射，喷射覆盖起火区域。紧急情况下，司乘人员可手动开启手动开关，实现一键灭火。典型系统架构见图B.1。</w:t>
      </w:r>
    </w:p>
    <w:p w14:paraId="2314DD5F">
      <w:pPr>
        <w:ind w:firstLine="0" w:firstLineChars="0"/>
        <w:jc w:val="center"/>
        <w:rPr>
          <w:rFonts w:ascii="Times New Roman" w:hAnsi="Times New Roman" w:cs="Times New Roman"/>
          <w:b/>
          <w:bCs/>
        </w:rPr>
      </w:pPr>
      <w:r>
        <w:rPr>
          <w:rFonts w:ascii="Times New Roman" w:hAnsi="Times New Roman" w:cs="Times New Roman"/>
          <w:b/>
          <w:bCs/>
        </w:rPr>
        <w:drawing>
          <wp:inline distT="0" distB="0" distL="0" distR="0">
            <wp:extent cx="5274310" cy="2115820"/>
            <wp:effectExtent l="0" t="0" r="2540" b="0"/>
            <wp:docPr id="1031" name="图片 4"/>
            <wp:cNvGraphicFramePr/>
            <a:graphic xmlns:a="http://schemas.openxmlformats.org/drawingml/2006/main">
              <a:graphicData uri="http://schemas.openxmlformats.org/drawingml/2006/picture">
                <pic:pic xmlns:pic="http://schemas.openxmlformats.org/drawingml/2006/picture">
                  <pic:nvPicPr>
                    <pic:cNvPr id="1031" name="图片 4"/>
                    <pic:cNvPicPr/>
                  </pic:nvPicPr>
                  <pic:blipFill>
                    <a:blip r:embed="rId7" cstate="print"/>
                    <a:srcRect/>
                    <a:stretch>
                      <a:fillRect/>
                    </a:stretch>
                  </pic:blipFill>
                  <pic:spPr>
                    <a:xfrm>
                      <a:off x="0" y="0"/>
                      <a:ext cx="5274310" cy="2115820"/>
                    </a:xfrm>
                    <a:prstGeom prst="rect">
                      <a:avLst/>
                    </a:prstGeom>
                    <a:ln>
                      <a:noFill/>
                    </a:ln>
                  </pic:spPr>
                </pic:pic>
              </a:graphicData>
            </a:graphic>
          </wp:inline>
        </w:drawing>
      </w:r>
    </w:p>
    <w:p w14:paraId="113D8B4F">
      <w:pPr>
        <w:ind w:firstLine="480"/>
        <w:jc w:val="center"/>
        <w:rPr>
          <w:rFonts w:ascii="Times New Roman" w:hAnsi="Times New Roman" w:cs="Times New Roman"/>
          <w:bCs/>
        </w:rPr>
      </w:pPr>
      <w:r>
        <w:rPr>
          <w:rFonts w:hint="eastAsia" w:ascii="Times New Roman" w:hAnsi="Times New Roman" w:cs="Times New Roman"/>
          <w:bCs/>
        </w:rPr>
        <w:t>图</w:t>
      </w:r>
      <w:r>
        <w:rPr>
          <w:rFonts w:ascii="Times New Roman" w:hAnsi="Times New Roman" w:cs="Times New Roman"/>
          <w:bCs/>
        </w:rPr>
        <w:t xml:space="preserve">B.1 </w:t>
      </w:r>
      <w:r>
        <w:rPr>
          <w:rFonts w:hint="eastAsia" w:ascii="Times New Roman" w:hAnsi="Times New Roman" w:cs="Times New Roman"/>
          <w:bCs/>
        </w:rPr>
        <w:t>典型系统架构图</w:t>
      </w:r>
    </w:p>
    <w:p w14:paraId="59C75858">
      <w:pPr>
        <w:pStyle w:val="6"/>
        <w:numPr>
          <w:ilvl w:val="0"/>
          <w:numId w:val="0"/>
        </w:numPr>
        <w:tabs>
          <w:tab w:val="left" w:pos="360"/>
        </w:tabs>
        <w:spacing w:before="0" w:after="0" w:line="360" w:lineRule="auto"/>
        <w:ind w:leftChars="0"/>
        <w:jc w:val="left"/>
        <w:rPr>
          <w:rFonts w:hint="eastAsia" w:ascii="宋体" w:hAnsi="宋体" w:eastAsia="宋体"/>
          <w:sz w:val="21"/>
          <w:szCs w:val="21"/>
        </w:rPr>
      </w:pPr>
      <w:bookmarkStart w:id="158" w:name="_Toc3211"/>
      <w:bookmarkStart w:id="159" w:name="_Toc1614"/>
      <w:bookmarkStart w:id="160" w:name="_Toc132033728"/>
      <w:bookmarkStart w:id="161" w:name="_Toc151111036"/>
      <w:r>
        <w:rPr>
          <w:rFonts w:hint="eastAsia" w:ascii="Times New Roman" w:hAnsi="Times New Roman" w:eastAsia="宋体" w:cs="Times New Roman"/>
          <w:b/>
          <w:bCs/>
          <w:kern w:val="2"/>
          <w:sz w:val="20"/>
          <w:szCs w:val="20"/>
          <w:lang w:val="en-US" w:eastAsia="zh-CN" w:bidi="ar-SA"/>
        </w:rPr>
        <w:t>B.2</w:t>
      </w:r>
      <w:r>
        <w:rPr>
          <w:rFonts w:hint="eastAsia" w:ascii="宋体" w:hAnsi="宋体" w:eastAsia="宋体"/>
          <w:sz w:val="21"/>
          <w:szCs w:val="21"/>
        </w:rPr>
        <w:t xml:space="preserve">  性能要求</w:t>
      </w:r>
      <w:bookmarkEnd w:id="158"/>
      <w:bookmarkEnd w:id="159"/>
      <w:bookmarkEnd w:id="160"/>
      <w:bookmarkEnd w:id="161"/>
    </w:p>
    <w:p w14:paraId="6166587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default" w:ascii="Times New Roman" w:hAnsi="Times New Roman" w:eastAsia="宋体" w:cs="Times New Roman"/>
          <w:b/>
          <w:bCs/>
          <w:sz w:val="20"/>
          <w:szCs w:val="20"/>
        </w:rPr>
        <w:t>B.2.1</w:t>
      </w:r>
      <w:r>
        <w:rPr>
          <w:rFonts w:hint="default" w:ascii="Times New Roman" w:hAnsi="Times New Roman" w:eastAsia="宋体" w:cs="Times New Roman"/>
          <w:sz w:val="20"/>
          <w:szCs w:val="20"/>
        </w:rPr>
        <w:t xml:space="preserve"> </w:t>
      </w:r>
      <w:r>
        <w:rPr>
          <w:rFonts w:hint="eastAsia" w:ascii="宋体" w:hAnsi="宋体" w:eastAsia="宋体"/>
          <w:szCs w:val="21"/>
        </w:rPr>
        <w:t xml:space="preserve"> 环境适应性</w:t>
      </w:r>
    </w:p>
    <w:p w14:paraId="6AC559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宋体" w:hAnsi="宋体" w:eastAsia="宋体"/>
          <w:szCs w:val="21"/>
        </w:rPr>
        <w:t>高温试验、低温试验、湿热循环、温度梯度、温度循环、稳态湿热、耐盐雾按GB/T 28046.4-2011 中试验方法进行。</w:t>
      </w:r>
    </w:p>
    <w:p w14:paraId="1AD297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B.2.2 </w:t>
      </w:r>
      <w:r>
        <w:rPr>
          <w:rFonts w:hint="eastAsia" w:ascii="宋体" w:hAnsi="宋体" w:eastAsia="宋体"/>
          <w:szCs w:val="21"/>
        </w:rPr>
        <w:t xml:space="preserve"> 电气性能</w:t>
      </w:r>
    </w:p>
    <w:p w14:paraId="25AA36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B.2.2.1</w:t>
      </w:r>
      <w:r>
        <w:rPr>
          <w:rFonts w:hint="eastAsia" w:ascii="宋体" w:hAnsi="宋体" w:eastAsia="宋体"/>
          <w:szCs w:val="21"/>
        </w:rPr>
        <w:t xml:space="preserve">  过电压测试、叠加交流电压测试、电压慢速下降及上升测试、电压断续测试、电压反极性测试等按 GB/T 28046.2-2019 中规定的试验方法进行，功能状态应达到GB/T 28046.1-2011  定义的 A 级。</w:t>
      </w:r>
    </w:p>
    <w:p w14:paraId="160AA78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B.2.2.2 </w:t>
      </w:r>
      <w:r>
        <w:rPr>
          <w:rFonts w:hint="eastAsia" w:ascii="宋体" w:hAnsi="宋体" w:eastAsia="宋体"/>
          <w:szCs w:val="21"/>
        </w:rPr>
        <w:t xml:space="preserve"> 启动特性按 GB/T 28046.2-201</w:t>
      </w:r>
      <w:r>
        <w:rPr>
          <w:rFonts w:hint="eastAsia" w:ascii="宋体" w:hAnsi="宋体" w:eastAsia="宋体"/>
          <w:szCs w:val="21"/>
          <w:lang w:val="en-US" w:eastAsia="zh-CN"/>
        </w:rPr>
        <w:t>9中</w:t>
      </w:r>
      <w:r>
        <w:rPr>
          <w:rFonts w:hint="eastAsia" w:ascii="宋体" w:hAnsi="宋体" w:eastAsia="宋体"/>
          <w:szCs w:val="21"/>
        </w:rPr>
        <w:t>规定的方法进行试验。严酷等级Ⅲ：US=6.00 V； UA=10.00 V。应满足 GB/T 28046.2-2019 中严酷等级 3 要求，功能状态应达到 GB/T 28046.1-2011 定义的 B 级。</w:t>
      </w:r>
    </w:p>
    <w:p w14:paraId="0F800D9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 </w:t>
      </w:r>
      <w:r>
        <w:rPr>
          <w:rFonts w:hint="eastAsia" w:ascii="宋体" w:hAnsi="宋体" w:eastAsia="宋体"/>
          <w:szCs w:val="21"/>
        </w:rPr>
        <w:t xml:space="preserve"> 电磁兼容性能</w:t>
      </w:r>
    </w:p>
    <w:p w14:paraId="22650E3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B.2.3.1</w:t>
      </w:r>
      <w:r>
        <w:rPr>
          <w:rFonts w:hint="eastAsia" w:ascii="宋体" w:hAnsi="宋体" w:eastAsia="宋体"/>
          <w:szCs w:val="21"/>
        </w:rPr>
        <w:t xml:space="preserve">  辐射发射（RE）</w:t>
      </w:r>
    </w:p>
    <w:p w14:paraId="73DF25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18655中6.5节规定的试验方法进行，并应满足GB/T 18655中6.5.4 中等级3的限值要求。交叠频段选择严酷等级限值，GB/T 18655未明确频段的限值按照临近限值直线连接确定。</w:t>
      </w:r>
    </w:p>
    <w:p w14:paraId="407990A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B.2.3.2 </w:t>
      </w:r>
      <w:r>
        <w:rPr>
          <w:rFonts w:hint="eastAsia" w:ascii="宋体" w:hAnsi="宋体" w:eastAsia="宋体"/>
          <w:szCs w:val="21"/>
        </w:rPr>
        <w:t xml:space="preserve"> 传导发射（CE）</w:t>
      </w:r>
    </w:p>
    <w:p w14:paraId="461D0D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只有电源线的部件仅须进行电压法试验，含有信号线的部件须要同时采用电压法和电流法进行试验。具有高压转低压功能的部件，须增加对低压输出端进行电压法试验。</w:t>
      </w:r>
    </w:p>
    <w:p w14:paraId="002DC1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B.2.3.3 </w:t>
      </w:r>
      <w:r>
        <w:rPr>
          <w:rFonts w:hint="eastAsia" w:ascii="宋体" w:hAnsi="宋体" w:eastAsia="宋体"/>
          <w:szCs w:val="21"/>
        </w:rPr>
        <w:t xml:space="preserve"> 电压法试验</w:t>
      </w:r>
    </w:p>
    <w:p w14:paraId="537D72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18655中6.3节规定的试验方法进行。应满足GB/T 18655中6.3.4中等级3的限值要求。交叠频段选择严酷等级限值，GB/T 18655未明确频段的限值按照临近限值直线连接确定。</w:t>
      </w:r>
    </w:p>
    <w:p w14:paraId="2FE4C1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B.2.3.4  </w:t>
      </w:r>
      <w:r>
        <w:rPr>
          <w:rFonts w:hint="eastAsia" w:ascii="宋体" w:hAnsi="宋体" w:eastAsia="宋体"/>
          <w:szCs w:val="21"/>
        </w:rPr>
        <w:t>电流法试验</w:t>
      </w:r>
    </w:p>
    <w:p w14:paraId="77657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18655中6.4节规定的试验方法进行。应满足GB/T 18655中6.4.3中等级3的限值要求。交叠频段优选严酷等级限值，GB/T 18655未明确频段的限值按照临近限值直线连接确定。</w:t>
      </w:r>
    </w:p>
    <w:p w14:paraId="537E7B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B.2.3.5 </w:t>
      </w:r>
      <w:r>
        <w:rPr>
          <w:rFonts w:hint="eastAsia" w:ascii="宋体" w:hAnsi="宋体" w:eastAsia="宋体"/>
          <w:szCs w:val="21"/>
        </w:rPr>
        <w:t xml:space="preserve"> 射频抗扰（自由场/天线注入）</w:t>
      </w:r>
    </w:p>
    <w:p w14:paraId="7D4E1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33014.2-2016中规定的试验方法，在频率范围80MHz至3000MHz内采用GB/T 33014.2-2016中等级3要求进行试验。功能状态应符合</w:t>
      </w:r>
      <w:r>
        <w:rPr>
          <w:rFonts w:hint="eastAsia" w:ascii="宋体" w:hAnsi="宋体" w:eastAsia="宋体"/>
          <w:szCs w:val="21"/>
          <w:highlight w:val="none"/>
        </w:rPr>
        <w:t>GB/T 17619定义的状态Ⅰ要求。</w:t>
      </w:r>
    </w:p>
    <w:p w14:paraId="7DC8D9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B.2.3.6 </w:t>
      </w:r>
      <w:r>
        <w:rPr>
          <w:rFonts w:hint="eastAsia" w:ascii="宋体" w:hAnsi="宋体" w:eastAsia="宋体"/>
          <w:szCs w:val="21"/>
        </w:rPr>
        <w:t xml:space="preserve"> 射频抗扰（大电流注入）</w:t>
      </w:r>
    </w:p>
    <w:p w14:paraId="56890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33014.4-2016中规定的试验方法进行。射频抗扰（大电流注入）应按照GB/T 33014.4-2016中等级3进行试验，功能状态应符合</w:t>
      </w:r>
      <w:r>
        <w:rPr>
          <w:rFonts w:hint="eastAsia" w:ascii="宋体" w:hAnsi="宋体" w:eastAsia="宋体"/>
          <w:szCs w:val="21"/>
          <w:highlight w:val="none"/>
        </w:rPr>
        <w:t>GB/T 17619</w:t>
      </w:r>
      <w:r>
        <w:rPr>
          <w:rFonts w:hint="eastAsia" w:ascii="宋体" w:hAnsi="宋体" w:eastAsia="宋体"/>
          <w:szCs w:val="21"/>
        </w:rPr>
        <w:t>定义的状态Ⅰ要求。</w:t>
      </w:r>
    </w:p>
    <w:p w14:paraId="759474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 xml:space="preserve">B.2.3.7 </w:t>
      </w:r>
      <w:r>
        <w:rPr>
          <w:rFonts w:hint="eastAsia" w:ascii="宋体" w:hAnsi="宋体" w:eastAsia="宋体"/>
          <w:szCs w:val="21"/>
        </w:rPr>
        <w:t xml:space="preserve"> 瞬态抗扰（电源线）</w:t>
      </w:r>
    </w:p>
    <w:p w14:paraId="6B203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 xml:space="preserve">火灾防控装置分别工作在充电、放电状态，按GB/T </w:t>
      </w:r>
      <w:r>
        <w:rPr>
          <w:rFonts w:hint="eastAsia" w:ascii="宋体" w:hAnsi="宋体" w:eastAsia="宋体"/>
          <w:szCs w:val="21"/>
          <w:lang w:eastAsia="zh-CN"/>
        </w:rPr>
        <w:t>21437.2-2021</w:t>
      </w:r>
      <w:r>
        <w:rPr>
          <w:rFonts w:hint="eastAsia" w:ascii="宋体" w:hAnsi="宋体" w:eastAsia="宋体"/>
          <w:szCs w:val="21"/>
        </w:rPr>
        <w:t>中规定的试验方法进行。瞬态抗扰（电源线）应满足表 B.1规定的试验脉冲等级，功能状态应符合GB/T 21437.1-2021定义的状态等级要求。</w:t>
      </w:r>
    </w:p>
    <w:p w14:paraId="068BCE46">
      <w:pPr>
        <w:pStyle w:val="2"/>
        <w:rPr>
          <w:rFonts w:hint="eastAsia" w:ascii="宋体" w:hAnsi="宋体" w:eastAsia="宋体"/>
          <w:szCs w:val="21"/>
        </w:rPr>
      </w:pPr>
    </w:p>
    <w:p w14:paraId="3472FC47">
      <w:pPr>
        <w:pStyle w:val="3"/>
        <w:rPr>
          <w:rFonts w:hint="eastAsia"/>
        </w:rPr>
      </w:pPr>
    </w:p>
    <w:p w14:paraId="416CAEB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表B.1 瞬态抗扰（电源线）试验脉冲等级及功能状态要求</w:t>
      </w:r>
    </w:p>
    <w:tbl>
      <w:tblPr>
        <w:tblStyle w:val="51"/>
        <w:tblW w:w="8627" w:type="dxa"/>
        <w:tblInd w:w="3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7"/>
        <w:gridCol w:w="2012"/>
        <w:gridCol w:w="2041"/>
        <w:gridCol w:w="1762"/>
        <w:gridCol w:w="1295"/>
      </w:tblGrid>
      <w:tr w14:paraId="7A28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7" w:type="dxa"/>
            <w:vAlign w:val="center"/>
          </w:tcPr>
          <w:p w14:paraId="07714A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试验脉冲</w:t>
            </w:r>
          </w:p>
        </w:tc>
        <w:tc>
          <w:tcPr>
            <w:tcW w:w="2012" w:type="dxa"/>
            <w:vAlign w:val="center"/>
          </w:tcPr>
          <w:p w14:paraId="45260A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脉冲等级（24 V）</w:t>
            </w:r>
          </w:p>
        </w:tc>
        <w:tc>
          <w:tcPr>
            <w:tcW w:w="2041" w:type="dxa"/>
            <w:vAlign w:val="center"/>
          </w:tcPr>
          <w:p w14:paraId="46FA56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脉冲数/时间</w:t>
            </w:r>
          </w:p>
        </w:tc>
        <w:tc>
          <w:tcPr>
            <w:tcW w:w="1762" w:type="dxa"/>
            <w:vAlign w:val="center"/>
          </w:tcPr>
          <w:p w14:paraId="5AC6D3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脉冲重复时间</w:t>
            </w:r>
          </w:p>
        </w:tc>
        <w:tc>
          <w:tcPr>
            <w:tcW w:w="1295" w:type="dxa"/>
            <w:vAlign w:val="center"/>
          </w:tcPr>
          <w:p w14:paraId="191C53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等级</w:t>
            </w:r>
          </w:p>
        </w:tc>
      </w:tr>
      <w:tr w14:paraId="76050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7" w:type="dxa"/>
            <w:vAlign w:val="center"/>
          </w:tcPr>
          <w:p w14:paraId="0319C6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w:t>
            </w:r>
          </w:p>
        </w:tc>
        <w:tc>
          <w:tcPr>
            <w:tcW w:w="2012" w:type="dxa"/>
            <w:vAlign w:val="center"/>
          </w:tcPr>
          <w:p w14:paraId="620461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-600/-150</w:t>
            </w:r>
          </w:p>
        </w:tc>
        <w:tc>
          <w:tcPr>
            <w:tcW w:w="2041" w:type="dxa"/>
            <w:vAlign w:val="center"/>
          </w:tcPr>
          <w:p w14:paraId="446FBE7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5000 个</w:t>
            </w:r>
          </w:p>
        </w:tc>
        <w:tc>
          <w:tcPr>
            <w:tcW w:w="1762" w:type="dxa"/>
            <w:vAlign w:val="center"/>
          </w:tcPr>
          <w:p w14:paraId="2036F7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0.5 s</w:t>
            </w:r>
          </w:p>
        </w:tc>
        <w:tc>
          <w:tcPr>
            <w:tcW w:w="1295" w:type="dxa"/>
            <w:vAlign w:val="center"/>
          </w:tcPr>
          <w:p w14:paraId="14D976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Ⅱ</w:t>
            </w:r>
          </w:p>
        </w:tc>
      </w:tr>
      <w:tr w14:paraId="3249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7" w:type="dxa"/>
            <w:vAlign w:val="center"/>
          </w:tcPr>
          <w:p w14:paraId="24D03C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2a</w:t>
            </w:r>
          </w:p>
        </w:tc>
        <w:tc>
          <w:tcPr>
            <w:tcW w:w="2012" w:type="dxa"/>
            <w:vAlign w:val="center"/>
          </w:tcPr>
          <w:p w14:paraId="0E181A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+112/+112</w:t>
            </w:r>
          </w:p>
        </w:tc>
        <w:tc>
          <w:tcPr>
            <w:tcW w:w="2041" w:type="dxa"/>
            <w:vAlign w:val="center"/>
          </w:tcPr>
          <w:p w14:paraId="4C582AF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5000 个</w:t>
            </w:r>
          </w:p>
        </w:tc>
        <w:tc>
          <w:tcPr>
            <w:tcW w:w="1762" w:type="dxa"/>
            <w:vAlign w:val="center"/>
          </w:tcPr>
          <w:p w14:paraId="0F285D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0.2 s</w:t>
            </w:r>
          </w:p>
        </w:tc>
        <w:tc>
          <w:tcPr>
            <w:tcW w:w="1295" w:type="dxa"/>
            <w:vAlign w:val="center"/>
          </w:tcPr>
          <w:p w14:paraId="2CC3F1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r>
      <w:tr w14:paraId="7F98E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7" w:type="dxa"/>
            <w:vAlign w:val="center"/>
          </w:tcPr>
          <w:p w14:paraId="568259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2b</w:t>
            </w:r>
          </w:p>
        </w:tc>
        <w:tc>
          <w:tcPr>
            <w:tcW w:w="2012" w:type="dxa"/>
            <w:vAlign w:val="center"/>
          </w:tcPr>
          <w:p w14:paraId="4B9DB4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+20/+10</w:t>
            </w:r>
          </w:p>
        </w:tc>
        <w:tc>
          <w:tcPr>
            <w:tcW w:w="2041" w:type="dxa"/>
            <w:vAlign w:val="center"/>
          </w:tcPr>
          <w:p w14:paraId="4D7DE6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w:t>
            </w:r>
          </w:p>
        </w:tc>
        <w:tc>
          <w:tcPr>
            <w:tcW w:w="1762" w:type="dxa"/>
            <w:vAlign w:val="center"/>
          </w:tcPr>
          <w:p w14:paraId="4934CF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0.5 s</w:t>
            </w:r>
          </w:p>
        </w:tc>
        <w:tc>
          <w:tcPr>
            <w:tcW w:w="1295" w:type="dxa"/>
            <w:vAlign w:val="center"/>
          </w:tcPr>
          <w:p w14:paraId="6A0D47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Ⅱ</w:t>
            </w:r>
          </w:p>
        </w:tc>
      </w:tr>
      <w:tr w14:paraId="073EF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517" w:type="dxa"/>
            <w:vAlign w:val="center"/>
          </w:tcPr>
          <w:p w14:paraId="3B588F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3a</w:t>
            </w:r>
          </w:p>
        </w:tc>
        <w:tc>
          <w:tcPr>
            <w:tcW w:w="2012" w:type="dxa"/>
            <w:vAlign w:val="center"/>
          </w:tcPr>
          <w:p w14:paraId="1C3ADF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-300/-220</w:t>
            </w:r>
          </w:p>
        </w:tc>
        <w:tc>
          <w:tcPr>
            <w:tcW w:w="2041" w:type="dxa"/>
            <w:vAlign w:val="center"/>
          </w:tcPr>
          <w:p w14:paraId="1534BB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1h</w:t>
            </w:r>
          </w:p>
        </w:tc>
        <w:tc>
          <w:tcPr>
            <w:tcW w:w="1762" w:type="dxa"/>
            <w:vAlign w:val="center"/>
          </w:tcPr>
          <w:p w14:paraId="69F9C0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90 ms</w:t>
            </w:r>
          </w:p>
        </w:tc>
        <w:tc>
          <w:tcPr>
            <w:tcW w:w="1295" w:type="dxa"/>
            <w:vAlign w:val="center"/>
          </w:tcPr>
          <w:p w14:paraId="7F704C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r>
      <w:tr w14:paraId="64E7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7" w:type="dxa"/>
            <w:vAlign w:val="center"/>
          </w:tcPr>
          <w:p w14:paraId="31B897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3b</w:t>
            </w:r>
          </w:p>
        </w:tc>
        <w:tc>
          <w:tcPr>
            <w:tcW w:w="2012" w:type="dxa"/>
            <w:vAlign w:val="center"/>
          </w:tcPr>
          <w:p w14:paraId="5E85D9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+300/+150</w:t>
            </w:r>
          </w:p>
        </w:tc>
        <w:tc>
          <w:tcPr>
            <w:tcW w:w="2041" w:type="dxa"/>
            <w:vAlign w:val="center"/>
          </w:tcPr>
          <w:p w14:paraId="6D3686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1h</w:t>
            </w:r>
          </w:p>
        </w:tc>
        <w:tc>
          <w:tcPr>
            <w:tcW w:w="1762" w:type="dxa"/>
            <w:vAlign w:val="center"/>
          </w:tcPr>
          <w:p w14:paraId="58DE9E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90 ms</w:t>
            </w:r>
          </w:p>
        </w:tc>
        <w:tc>
          <w:tcPr>
            <w:tcW w:w="1295" w:type="dxa"/>
            <w:vAlign w:val="center"/>
          </w:tcPr>
          <w:p w14:paraId="691877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r>
      <w:tr w14:paraId="0778A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517" w:type="dxa"/>
            <w:vAlign w:val="center"/>
          </w:tcPr>
          <w:p w14:paraId="16B071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4</w:t>
            </w:r>
          </w:p>
        </w:tc>
        <w:tc>
          <w:tcPr>
            <w:tcW w:w="2012" w:type="dxa"/>
            <w:vAlign w:val="center"/>
          </w:tcPr>
          <w:p w14:paraId="6BF5E59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-7/-16</w:t>
            </w:r>
          </w:p>
        </w:tc>
        <w:tc>
          <w:tcPr>
            <w:tcW w:w="2041" w:type="dxa"/>
            <w:vAlign w:val="center"/>
          </w:tcPr>
          <w:p w14:paraId="703BCE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1个</w:t>
            </w:r>
          </w:p>
        </w:tc>
        <w:tc>
          <w:tcPr>
            <w:tcW w:w="1762" w:type="dxa"/>
            <w:vAlign w:val="center"/>
          </w:tcPr>
          <w:p w14:paraId="36A007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t7=50ms</w:t>
            </w:r>
          </w:p>
          <w:p w14:paraId="3B13065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t8=50ms</w:t>
            </w:r>
          </w:p>
          <w:p w14:paraId="26CA3F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t9=1s</w:t>
            </w:r>
          </w:p>
          <w:p w14:paraId="7CA6FD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t11=40 ms</w:t>
            </w:r>
          </w:p>
          <w:p w14:paraId="0376EC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Ua=-12 V</w:t>
            </w:r>
          </w:p>
        </w:tc>
        <w:tc>
          <w:tcPr>
            <w:tcW w:w="1295" w:type="dxa"/>
            <w:vAlign w:val="center"/>
          </w:tcPr>
          <w:p w14:paraId="1522A6F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Ⅱ</w:t>
            </w:r>
          </w:p>
        </w:tc>
      </w:tr>
      <w:tr w14:paraId="1E22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17" w:type="dxa"/>
            <w:vAlign w:val="center"/>
          </w:tcPr>
          <w:p w14:paraId="071689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5a</w:t>
            </w:r>
          </w:p>
        </w:tc>
        <w:tc>
          <w:tcPr>
            <w:tcW w:w="2012" w:type="dxa"/>
            <w:vAlign w:val="center"/>
          </w:tcPr>
          <w:p w14:paraId="774DDF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+174/+87</w:t>
            </w:r>
          </w:p>
        </w:tc>
        <w:tc>
          <w:tcPr>
            <w:tcW w:w="2041" w:type="dxa"/>
            <w:vAlign w:val="center"/>
          </w:tcPr>
          <w:p w14:paraId="055897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1个</w:t>
            </w:r>
          </w:p>
        </w:tc>
        <w:tc>
          <w:tcPr>
            <w:tcW w:w="1762" w:type="dxa"/>
            <w:vAlign w:val="center"/>
          </w:tcPr>
          <w:p w14:paraId="2EF669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td=350 ms</w:t>
            </w:r>
          </w:p>
          <w:p w14:paraId="134D3C8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Ri=4 Ω</w:t>
            </w:r>
          </w:p>
        </w:tc>
        <w:tc>
          <w:tcPr>
            <w:tcW w:w="1295" w:type="dxa"/>
            <w:vAlign w:val="center"/>
          </w:tcPr>
          <w:p w14:paraId="346A5F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r>
      <w:tr w14:paraId="323F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627" w:type="dxa"/>
            <w:gridSpan w:val="5"/>
          </w:tcPr>
          <w:p w14:paraId="426FB33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szCs w:val="21"/>
              </w:rPr>
            </w:pPr>
            <w:r>
              <w:rPr>
                <w:rFonts w:hint="eastAsia" w:ascii="宋体" w:hAnsi="宋体" w:eastAsia="宋体"/>
                <w:szCs w:val="21"/>
              </w:rPr>
              <w:t>注：智能监控及记录类含有备用电源供电的设备，脉冲 1 和脉冲 2b 功能状态等级要求为Ⅰ。</w:t>
            </w:r>
          </w:p>
        </w:tc>
      </w:tr>
    </w:tbl>
    <w:p w14:paraId="059C8E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p>
    <w:p w14:paraId="6E7582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B.2.3.8</w:t>
      </w:r>
      <w:r>
        <w:rPr>
          <w:rFonts w:hint="eastAsia" w:ascii="宋体" w:hAnsi="宋体" w:eastAsia="宋体"/>
          <w:szCs w:val="21"/>
        </w:rPr>
        <w:t xml:space="preserve">  瞬态抗扰（信号线）</w:t>
      </w:r>
    </w:p>
    <w:p w14:paraId="420EE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21437.3</w:t>
      </w:r>
      <w:r>
        <w:rPr>
          <w:rFonts w:hint="eastAsia" w:ascii="宋体" w:hAnsi="宋体" w:eastAsia="宋体"/>
          <w:szCs w:val="21"/>
          <w:lang w:val="en-US" w:eastAsia="zh-CN"/>
        </w:rPr>
        <w:t>-2021</w:t>
      </w:r>
      <w:r>
        <w:rPr>
          <w:rFonts w:hint="eastAsia" w:ascii="宋体" w:hAnsi="宋体" w:eastAsia="宋体"/>
          <w:szCs w:val="21"/>
        </w:rPr>
        <w:t>中规定的试验方法进行。参考GB/T 21437.3</w:t>
      </w:r>
      <w:r>
        <w:rPr>
          <w:rFonts w:hint="eastAsia" w:ascii="宋体" w:hAnsi="宋体" w:eastAsia="宋体"/>
          <w:szCs w:val="21"/>
          <w:lang w:val="en-US" w:eastAsia="zh-CN"/>
        </w:rPr>
        <w:t>-2021</w:t>
      </w:r>
      <w:r>
        <w:rPr>
          <w:rFonts w:hint="eastAsia" w:ascii="宋体" w:hAnsi="宋体" w:eastAsia="宋体"/>
          <w:szCs w:val="21"/>
        </w:rPr>
        <w:t>中规定的试验方法，采用GB/T 21437.3</w:t>
      </w:r>
      <w:r>
        <w:rPr>
          <w:rFonts w:hint="eastAsia" w:ascii="宋体" w:hAnsi="宋体" w:eastAsia="宋体"/>
          <w:szCs w:val="21"/>
          <w:lang w:val="en-US" w:eastAsia="zh-CN"/>
        </w:rPr>
        <w:t>-2021</w:t>
      </w:r>
      <w:r>
        <w:rPr>
          <w:rFonts w:hint="eastAsia" w:ascii="宋体" w:hAnsi="宋体" w:eastAsia="宋体"/>
          <w:szCs w:val="21"/>
        </w:rPr>
        <w:t>附录B中等级三进行快脉冲、慢脉冲试验。功能状态应符合GB</w:t>
      </w:r>
      <w:r>
        <w:rPr>
          <w:rFonts w:hint="eastAsia" w:ascii="宋体" w:hAnsi="宋体" w:eastAsia="宋体"/>
          <w:szCs w:val="21"/>
          <w:lang w:val="en-US" w:eastAsia="zh-CN"/>
        </w:rPr>
        <w:t>/</w:t>
      </w:r>
      <w:r>
        <w:rPr>
          <w:rFonts w:hint="eastAsia" w:ascii="宋体" w:hAnsi="宋体" w:eastAsia="宋体"/>
          <w:szCs w:val="21"/>
        </w:rPr>
        <w:t>T 21437.1-</w:t>
      </w:r>
      <w:r>
        <w:rPr>
          <w:rFonts w:hint="eastAsia" w:ascii="宋体" w:hAnsi="宋体" w:eastAsia="宋体"/>
          <w:szCs w:val="21"/>
          <w:lang w:val="en-US" w:eastAsia="zh-CN"/>
        </w:rPr>
        <w:t>2021</w:t>
      </w:r>
      <w:r>
        <w:rPr>
          <w:rFonts w:hint="eastAsia" w:ascii="宋体" w:hAnsi="宋体" w:eastAsia="宋体"/>
          <w:szCs w:val="21"/>
        </w:rPr>
        <w:t>定义的状态等级Ⅰ的要求。</w:t>
      </w:r>
    </w:p>
    <w:p w14:paraId="4C968E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r>
        <w:rPr>
          <w:rFonts w:hint="eastAsia" w:ascii="Times New Roman" w:hAnsi="Times New Roman" w:eastAsia="宋体" w:cs="Times New Roman"/>
          <w:b/>
          <w:bCs/>
          <w:sz w:val="20"/>
          <w:szCs w:val="20"/>
        </w:rPr>
        <w:t>B.2.3.9</w:t>
      </w:r>
      <w:r>
        <w:rPr>
          <w:rFonts w:hint="eastAsia" w:ascii="宋体" w:hAnsi="宋体" w:eastAsia="宋体"/>
          <w:szCs w:val="21"/>
        </w:rPr>
        <w:t xml:space="preserve">  静电放电</w:t>
      </w:r>
    </w:p>
    <w:p w14:paraId="114266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rPr>
      </w:pPr>
      <w:r>
        <w:rPr>
          <w:rFonts w:hint="eastAsia" w:ascii="宋体" w:hAnsi="宋体" w:eastAsia="宋体"/>
          <w:szCs w:val="21"/>
        </w:rPr>
        <w:t>火灾防控装置分别工作在充电、放电状态，按GB/T 19951-2019中规定的试验方法进行。静电放电应满足表B.2规定的试验电压严酷等级，功能状态应符合GB/T 19951-2019定义的状态等级要求。</w:t>
      </w:r>
    </w:p>
    <w:p w14:paraId="36E82F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Cs w:val="21"/>
        </w:rPr>
      </w:pPr>
      <w:r>
        <w:rPr>
          <w:rFonts w:hint="eastAsia" w:ascii="宋体" w:hAnsi="宋体" w:eastAsia="宋体"/>
          <w:szCs w:val="21"/>
        </w:rPr>
        <w:t>表B.2 静电放电试验电压严酷等级及功能状态要求</w:t>
      </w:r>
    </w:p>
    <w:tbl>
      <w:tblPr>
        <w:tblStyle w:val="5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3"/>
        <w:gridCol w:w="1848"/>
        <w:gridCol w:w="954"/>
        <w:gridCol w:w="1175"/>
        <w:gridCol w:w="1625"/>
        <w:gridCol w:w="569"/>
        <w:gridCol w:w="1463"/>
      </w:tblGrid>
      <w:tr w14:paraId="2809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Align w:val="center"/>
          </w:tcPr>
          <w:p w14:paraId="3B13DBA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试验模式</w:t>
            </w:r>
          </w:p>
        </w:tc>
        <w:tc>
          <w:tcPr>
            <w:tcW w:w="1848" w:type="dxa"/>
            <w:vAlign w:val="center"/>
          </w:tcPr>
          <w:p w14:paraId="643C8B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放电试验位置</w:t>
            </w:r>
          </w:p>
        </w:tc>
        <w:tc>
          <w:tcPr>
            <w:tcW w:w="954" w:type="dxa"/>
            <w:vAlign w:val="center"/>
          </w:tcPr>
          <w:p w14:paraId="375C13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放电模式</w:t>
            </w:r>
          </w:p>
        </w:tc>
        <w:tc>
          <w:tcPr>
            <w:tcW w:w="1175" w:type="dxa"/>
            <w:vAlign w:val="center"/>
          </w:tcPr>
          <w:p w14:paraId="4F0CC50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等 级</w:t>
            </w:r>
          </w:p>
        </w:tc>
        <w:tc>
          <w:tcPr>
            <w:tcW w:w="1625" w:type="dxa"/>
            <w:vAlign w:val="center"/>
          </w:tcPr>
          <w:p w14:paraId="10C392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放电次数</w:t>
            </w:r>
          </w:p>
        </w:tc>
        <w:tc>
          <w:tcPr>
            <w:tcW w:w="569" w:type="dxa"/>
            <w:vAlign w:val="center"/>
          </w:tcPr>
          <w:p w14:paraId="6C7067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等 级</w:t>
            </w:r>
          </w:p>
        </w:tc>
        <w:tc>
          <w:tcPr>
            <w:tcW w:w="1463" w:type="dxa"/>
            <w:vAlign w:val="center"/>
          </w:tcPr>
          <w:p w14:paraId="36C645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b/>
                <w:bCs/>
                <w:szCs w:val="21"/>
              </w:rPr>
            </w:pPr>
            <w:r>
              <w:rPr>
                <w:rFonts w:hint="eastAsia" w:ascii="宋体" w:hAnsi="宋体" w:eastAsia="宋体"/>
                <w:b/>
                <w:bCs/>
                <w:szCs w:val="21"/>
              </w:rPr>
              <w:t>备  注</w:t>
            </w:r>
          </w:p>
        </w:tc>
      </w:tr>
      <w:tr w14:paraId="1F4B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Merge w:val="restart"/>
            <w:vAlign w:val="center"/>
          </w:tcPr>
          <w:p w14:paraId="2BA936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下电模式</w:t>
            </w:r>
          </w:p>
        </w:tc>
        <w:tc>
          <w:tcPr>
            <w:tcW w:w="1848" w:type="dxa"/>
            <w:vAlign w:val="center"/>
          </w:tcPr>
          <w:p w14:paraId="44E430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引脚</w:t>
            </w:r>
          </w:p>
        </w:tc>
        <w:tc>
          <w:tcPr>
            <w:tcW w:w="954" w:type="dxa"/>
            <w:vAlign w:val="center"/>
          </w:tcPr>
          <w:p w14:paraId="139528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接触</w:t>
            </w:r>
          </w:p>
        </w:tc>
        <w:tc>
          <w:tcPr>
            <w:tcW w:w="1175" w:type="dxa"/>
            <w:vAlign w:val="center"/>
          </w:tcPr>
          <w:p w14:paraId="230DF5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±6 kV</w:t>
            </w:r>
          </w:p>
        </w:tc>
        <w:tc>
          <w:tcPr>
            <w:tcW w:w="1625" w:type="dxa"/>
            <w:vAlign w:val="center"/>
          </w:tcPr>
          <w:p w14:paraId="3A4803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3 次/个引脚</w:t>
            </w:r>
          </w:p>
        </w:tc>
        <w:tc>
          <w:tcPr>
            <w:tcW w:w="569" w:type="dxa"/>
            <w:vAlign w:val="center"/>
          </w:tcPr>
          <w:p w14:paraId="3FA70C4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restart"/>
            <w:vAlign w:val="center"/>
          </w:tcPr>
          <w:p w14:paraId="6487E25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引脚可用线径（0.5～2）mm</w:t>
            </w:r>
            <w:r>
              <w:rPr>
                <w:rFonts w:hint="eastAsia" w:ascii="宋体" w:hAnsi="宋体" w:eastAsia="宋体"/>
                <w:szCs w:val="21"/>
                <w:vertAlign w:val="superscript"/>
              </w:rPr>
              <w:t>2</w:t>
            </w:r>
            <w:r>
              <w:rPr>
                <w:rFonts w:hint="eastAsia" w:ascii="宋体" w:hAnsi="宋体" w:eastAsia="宋体"/>
                <w:szCs w:val="21"/>
              </w:rPr>
              <w:t>且长度不超过 25mm的导线进行辅助；表面选择应包含缝隙、螺钉等。</w:t>
            </w:r>
          </w:p>
        </w:tc>
      </w:tr>
      <w:tr w14:paraId="2151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Merge w:val="continue"/>
            <w:vAlign w:val="center"/>
          </w:tcPr>
          <w:p w14:paraId="36EF4A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1848" w:type="dxa"/>
            <w:vAlign w:val="center"/>
          </w:tcPr>
          <w:p w14:paraId="116FF5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表面（非金属）</w:t>
            </w:r>
          </w:p>
        </w:tc>
        <w:tc>
          <w:tcPr>
            <w:tcW w:w="954" w:type="dxa"/>
            <w:vAlign w:val="center"/>
          </w:tcPr>
          <w:p w14:paraId="620588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空气</w:t>
            </w:r>
          </w:p>
        </w:tc>
        <w:tc>
          <w:tcPr>
            <w:tcW w:w="1175" w:type="dxa"/>
            <w:vAlign w:val="center"/>
          </w:tcPr>
          <w:p w14:paraId="237342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±15 kV</w:t>
            </w:r>
          </w:p>
        </w:tc>
        <w:tc>
          <w:tcPr>
            <w:tcW w:w="1625" w:type="dxa"/>
            <w:vAlign w:val="center"/>
          </w:tcPr>
          <w:p w14:paraId="4A8C6A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个点</w:t>
            </w:r>
          </w:p>
        </w:tc>
        <w:tc>
          <w:tcPr>
            <w:tcW w:w="569" w:type="dxa"/>
            <w:vAlign w:val="center"/>
          </w:tcPr>
          <w:p w14:paraId="45CC4C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continue"/>
            <w:vAlign w:val="center"/>
          </w:tcPr>
          <w:p w14:paraId="372BF8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r>
      <w:tr w14:paraId="4330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433" w:type="dxa"/>
            <w:vMerge w:val="continue"/>
            <w:vAlign w:val="center"/>
          </w:tcPr>
          <w:p w14:paraId="08960C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1848" w:type="dxa"/>
            <w:vMerge w:val="restart"/>
            <w:vAlign w:val="center"/>
          </w:tcPr>
          <w:p w14:paraId="16FA29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表面（金属）</w:t>
            </w:r>
          </w:p>
        </w:tc>
        <w:tc>
          <w:tcPr>
            <w:tcW w:w="954" w:type="dxa"/>
            <w:vAlign w:val="center"/>
          </w:tcPr>
          <w:p w14:paraId="087F6C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接触</w:t>
            </w:r>
          </w:p>
        </w:tc>
        <w:tc>
          <w:tcPr>
            <w:tcW w:w="1175" w:type="dxa"/>
            <w:vAlign w:val="center"/>
          </w:tcPr>
          <w:p w14:paraId="727FB6F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±8 kV</w:t>
            </w:r>
          </w:p>
        </w:tc>
        <w:tc>
          <w:tcPr>
            <w:tcW w:w="1625" w:type="dxa"/>
            <w:vAlign w:val="center"/>
          </w:tcPr>
          <w:p w14:paraId="154670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个点</w:t>
            </w:r>
          </w:p>
        </w:tc>
        <w:tc>
          <w:tcPr>
            <w:tcW w:w="569" w:type="dxa"/>
            <w:vAlign w:val="center"/>
          </w:tcPr>
          <w:p w14:paraId="2B2D42F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continue"/>
            <w:vAlign w:val="center"/>
          </w:tcPr>
          <w:p w14:paraId="37AF88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r>
      <w:tr w14:paraId="39BF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Merge w:val="continue"/>
            <w:vAlign w:val="center"/>
          </w:tcPr>
          <w:p w14:paraId="770E18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1848" w:type="dxa"/>
            <w:vMerge w:val="continue"/>
            <w:vAlign w:val="center"/>
          </w:tcPr>
          <w:p w14:paraId="0E825D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954" w:type="dxa"/>
            <w:vAlign w:val="center"/>
          </w:tcPr>
          <w:p w14:paraId="6764CCB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空气</w:t>
            </w:r>
          </w:p>
        </w:tc>
        <w:tc>
          <w:tcPr>
            <w:tcW w:w="1175" w:type="dxa"/>
            <w:vAlign w:val="center"/>
          </w:tcPr>
          <w:p w14:paraId="74B77F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±15 kV</w:t>
            </w:r>
          </w:p>
        </w:tc>
        <w:tc>
          <w:tcPr>
            <w:tcW w:w="1625" w:type="dxa"/>
            <w:vAlign w:val="center"/>
          </w:tcPr>
          <w:p w14:paraId="45EB9F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个点</w:t>
            </w:r>
          </w:p>
        </w:tc>
        <w:tc>
          <w:tcPr>
            <w:tcW w:w="569" w:type="dxa"/>
            <w:vAlign w:val="center"/>
          </w:tcPr>
          <w:p w14:paraId="467CB5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continue"/>
            <w:vAlign w:val="center"/>
          </w:tcPr>
          <w:p w14:paraId="0E5A3B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r>
      <w:tr w14:paraId="1B93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Merge w:val="restart"/>
            <w:vAlign w:val="center"/>
          </w:tcPr>
          <w:p w14:paraId="1CA047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上电模式</w:t>
            </w:r>
          </w:p>
        </w:tc>
        <w:tc>
          <w:tcPr>
            <w:tcW w:w="1848" w:type="dxa"/>
            <w:vAlign w:val="center"/>
          </w:tcPr>
          <w:p w14:paraId="28119E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表面（非金属）</w:t>
            </w:r>
          </w:p>
        </w:tc>
        <w:tc>
          <w:tcPr>
            <w:tcW w:w="954" w:type="dxa"/>
            <w:vAlign w:val="center"/>
          </w:tcPr>
          <w:p w14:paraId="0965CB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空气</w:t>
            </w:r>
          </w:p>
        </w:tc>
        <w:tc>
          <w:tcPr>
            <w:tcW w:w="1175" w:type="dxa"/>
            <w:vAlign w:val="center"/>
          </w:tcPr>
          <w:p w14:paraId="5277A0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±15 kV</w:t>
            </w:r>
          </w:p>
        </w:tc>
        <w:tc>
          <w:tcPr>
            <w:tcW w:w="1625" w:type="dxa"/>
            <w:vAlign w:val="center"/>
          </w:tcPr>
          <w:p w14:paraId="410E2A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个点</w:t>
            </w:r>
          </w:p>
        </w:tc>
        <w:tc>
          <w:tcPr>
            <w:tcW w:w="569" w:type="dxa"/>
            <w:vAlign w:val="center"/>
          </w:tcPr>
          <w:p w14:paraId="3051EF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continue"/>
            <w:vAlign w:val="center"/>
          </w:tcPr>
          <w:p w14:paraId="0E710A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r>
      <w:tr w14:paraId="6EE3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Merge w:val="continue"/>
            <w:vAlign w:val="center"/>
          </w:tcPr>
          <w:p w14:paraId="7DBF8F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1848" w:type="dxa"/>
            <w:vMerge w:val="restart"/>
            <w:vAlign w:val="center"/>
          </w:tcPr>
          <w:p w14:paraId="07A8C4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表面（金属）</w:t>
            </w:r>
          </w:p>
        </w:tc>
        <w:tc>
          <w:tcPr>
            <w:tcW w:w="954" w:type="dxa"/>
            <w:vAlign w:val="center"/>
          </w:tcPr>
          <w:p w14:paraId="4BAB189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接触</w:t>
            </w:r>
          </w:p>
        </w:tc>
        <w:tc>
          <w:tcPr>
            <w:tcW w:w="1175" w:type="dxa"/>
            <w:vAlign w:val="center"/>
          </w:tcPr>
          <w:p w14:paraId="161E0B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±6 kV</w:t>
            </w:r>
          </w:p>
        </w:tc>
        <w:tc>
          <w:tcPr>
            <w:tcW w:w="1625" w:type="dxa"/>
            <w:vAlign w:val="center"/>
          </w:tcPr>
          <w:p w14:paraId="29822D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个点</w:t>
            </w:r>
          </w:p>
        </w:tc>
        <w:tc>
          <w:tcPr>
            <w:tcW w:w="569" w:type="dxa"/>
            <w:vAlign w:val="center"/>
          </w:tcPr>
          <w:p w14:paraId="568D21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continue"/>
            <w:vAlign w:val="center"/>
          </w:tcPr>
          <w:p w14:paraId="20BF72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r>
      <w:tr w14:paraId="2CDF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433" w:type="dxa"/>
            <w:vMerge w:val="continue"/>
            <w:vAlign w:val="center"/>
          </w:tcPr>
          <w:p w14:paraId="30D6F1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1848" w:type="dxa"/>
            <w:vMerge w:val="continue"/>
            <w:vAlign w:val="center"/>
          </w:tcPr>
          <w:p w14:paraId="5C662A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c>
          <w:tcPr>
            <w:tcW w:w="954" w:type="dxa"/>
            <w:vAlign w:val="center"/>
          </w:tcPr>
          <w:p w14:paraId="301FA3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空气</w:t>
            </w:r>
          </w:p>
        </w:tc>
        <w:tc>
          <w:tcPr>
            <w:tcW w:w="1175" w:type="dxa"/>
            <w:vAlign w:val="center"/>
          </w:tcPr>
          <w:p w14:paraId="25FFB9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±8 kV</w:t>
            </w:r>
          </w:p>
        </w:tc>
        <w:tc>
          <w:tcPr>
            <w:tcW w:w="1625" w:type="dxa"/>
            <w:vAlign w:val="center"/>
          </w:tcPr>
          <w:p w14:paraId="3BC066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10 个点</w:t>
            </w:r>
          </w:p>
        </w:tc>
        <w:tc>
          <w:tcPr>
            <w:tcW w:w="569" w:type="dxa"/>
            <w:vAlign w:val="center"/>
          </w:tcPr>
          <w:p w14:paraId="71ED99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r>
              <w:rPr>
                <w:rFonts w:hint="eastAsia" w:ascii="宋体" w:hAnsi="宋体" w:eastAsia="宋体"/>
                <w:szCs w:val="21"/>
              </w:rPr>
              <w:t>Ⅰ</w:t>
            </w:r>
          </w:p>
        </w:tc>
        <w:tc>
          <w:tcPr>
            <w:tcW w:w="1463" w:type="dxa"/>
            <w:vMerge w:val="continue"/>
            <w:vAlign w:val="center"/>
          </w:tcPr>
          <w:p w14:paraId="6B80C9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Cs w:val="21"/>
              </w:rPr>
            </w:pPr>
          </w:p>
        </w:tc>
      </w:tr>
      <w:tr w14:paraId="397E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9067" w:type="dxa"/>
            <w:gridSpan w:val="7"/>
            <w:vAlign w:val="center"/>
          </w:tcPr>
          <w:p w14:paraId="6B3DCFA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szCs w:val="21"/>
              </w:rPr>
            </w:pPr>
            <w:r>
              <w:rPr>
                <w:rFonts w:hint="eastAsia" w:ascii="宋体" w:hAnsi="宋体" w:eastAsia="宋体"/>
                <w:szCs w:val="21"/>
              </w:rPr>
              <w:t>注：下电模式功能判断待试验完成，上电后进行。</w:t>
            </w:r>
          </w:p>
        </w:tc>
      </w:tr>
    </w:tbl>
    <w:p w14:paraId="4973DD8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Cs w:val="21"/>
        </w:rPr>
      </w:pPr>
    </w:p>
    <w:sectPr>
      <w:type w:val="continuous"/>
      <w:pgSz w:w="11906" w:h="16838"/>
      <w:pgMar w:top="1440" w:right="1274"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29EA">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30CD1B7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38EF">
    <w:pPr>
      <w:pStyle w:val="12"/>
      <w:ind w:firstLine="0" w:firstLineChars="0"/>
      <w:jc w:val="both"/>
      <w:rPr>
        <w:rFonts w:ascii="Times New Roman" w:hAnsi="Times New Roman" w:cs="Times New Roman"/>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E38DA">
                          <w:pPr>
                            <w:pStyle w:val="12"/>
                            <w:ind w:firstLine="36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EE38DA">
                    <w:pPr>
                      <w:pStyle w:val="12"/>
                      <w:ind w:firstLine="360"/>
                    </w:pPr>
                    <w:r>
                      <w:fldChar w:fldCharType="begin"/>
                    </w:r>
                    <w:r>
                      <w:instrText xml:space="preserve"> PAGE  \* MERGEFORMAT </w:instrText>
                    </w:r>
                    <w:r>
                      <w:fldChar w:fldCharType="separate"/>
                    </w:r>
                    <w:r>
                      <w:t>9</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8EACE">
                          <w:pPr>
                            <w:pStyle w:val="1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48EACE">
                    <w:pPr>
                      <w:pStyle w:val="12"/>
                      <w:ind w:firstLine="36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5EB1">
    <w:pPr>
      <w:pStyle w:val="12"/>
      <w:ind w:firstLine="0" w:firstLineChars="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6A697">
                          <w:pPr>
                            <w:pStyle w:val="12"/>
                            <w:ind w:firstLine="36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76A697">
                    <w:pPr>
                      <w:pStyle w:val="12"/>
                      <w:ind w:firstLine="360"/>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F0942">
                          <w:pPr>
                            <w:pStyle w:val="1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0BF0942">
                    <w:pPr>
                      <w:pStyle w:val="12"/>
                      <w:ind w:firstLine="360"/>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37FAF"/>
    <w:multiLevelType w:val="multilevel"/>
    <w:tmpl w:val="21137FAF"/>
    <w:lvl w:ilvl="0" w:tentative="0">
      <w:start w:val="1"/>
      <w:numFmt w:val="decimal"/>
      <w:lvlText w:val="6.%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822471E"/>
    <w:multiLevelType w:val="multilevel"/>
    <w:tmpl w:val="5822471E"/>
    <w:lvl w:ilvl="0" w:tentative="0">
      <w:start w:val="1"/>
      <w:numFmt w:val="decimal"/>
      <w:lvlText w:val="5.%1"/>
      <w:lvlJc w:val="left"/>
      <w:pPr>
        <w:ind w:left="440" w:hanging="440"/>
      </w:pPr>
      <w:rPr>
        <w:rFonts w:hint="eastAsia"/>
      </w:rPr>
    </w:lvl>
    <w:lvl w:ilvl="1" w:tentative="0">
      <w:start w:val="1"/>
      <w:numFmt w:val="decimal"/>
      <w:lvlText w:val="5.2.%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57D3FBC"/>
    <w:multiLevelType w:val="multilevel"/>
    <w:tmpl w:val="657D3FBC"/>
    <w:lvl w:ilvl="0" w:tentative="0">
      <w:start w:val="1"/>
      <w:numFmt w:val="upperLetter"/>
      <w:pStyle w:val="49"/>
      <w:suff w:val="nothing"/>
      <w:lvlText w:val="附　录　%1"/>
      <w:lvlJc w:val="left"/>
      <w:pPr>
        <w:ind w:left="5812" w:firstLine="0"/>
      </w:pPr>
      <w:rPr>
        <w:rFonts w:hint="eastAsia" w:ascii="黑体" w:hAnsi="Times New Roman" w:eastAsia="黑体"/>
        <w:b w:val="0"/>
        <w:i w:val="0"/>
        <w:spacing w:val="0"/>
        <w:w w:val="100"/>
        <w:sz w:val="21"/>
        <w:lang w:val="en-US"/>
      </w:rPr>
    </w:lvl>
    <w:lvl w:ilvl="1" w:tentative="0">
      <w:start w:val="1"/>
      <w:numFmt w:val="decimal"/>
      <w:suff w:val="nothing"/>
      <w:lvlText w:val="%1.%2　"/>
      <w:lvlJc w:val="left"/>
      <w:pPr>
        <w:ind w:left="2409"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4790492"/>
    <w:multiLevelType w:val="multilevel"/>
    <w:tmpl w:val="7479049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E5C5A12"/>
    <w:multiLevelType w:val="multilevel"/>
    <w:tmpl w:val="7E5C5A12"/>
    <w:lvl w:ilvl="0" w:tentative="0">
      <w:start w:val="1"/>
      <w:numFmt w:val="decimal"/>
      <w:lvlText w:val="7.%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F245FF7"/>
    <w:multiLevelType w:val="multilevel"/>
    <w:tmpl w:val="7F245FF7"/>
    <w:lvl w:ilvl="0" w:tentative="0">
      <w:start w:val="1"/>
      <w:numFmt w:val="decimal"/>
      <w:lvlText w:val="3.%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742CE3"/>
    <w:rsid w:val="00004D1B"/>
    <w:rsid w:val="00006230"/>
    <w:rsid w:val="00011AEF"/>
    <w:rsid w:val="00015C27"/>
    <w:rsid w:val="00015E15"/>
    <w:rsid w:val="000172FD"/>
    <w:rsid w:val="00017652"/>
    <w:rsid w:val="00017994"/>
    <w:rsid w:val="00017CB3"/>
    <w:rsid w:val="00021F4B"/>
    <w:rsid w:val="00022B19"/>
    <w:rsid w:val="00023A71"/>
    <w:rsid w:val="0002719D"/>
    <w:rsid w:val="000339BA"/>
    <w:rsid w:val="00034FDF"/>
    <w:rsid w:val="000369DA"/>
    <w:rsid w:val="000369E0"/>
    <w:rsid w:val="000401B8"/>
    <w:rsid w:val="00050949"/>
    <w:rsid w:val="000528C1"/>
    <w:rsid w:val="0005455D"/>
    <w:rsid w:val="00054A58"/>
    <w:rsid w:val="00054B6E"/>
    <w:rsid w:val="00054CEB"/>
    <w:rsid w:val="000631BD"/>
    <w:rsid w:val="000801D2"/>
    <w:rsid w:val="00083363"/>
    <w:rsid w:val="000856F4"/>
    <w:rsid w:val="000935C8"/>
    <w:rsid w:val="000967C7"/>
    <w:rsid w:val="00097755"/>
    <w:rsid w:val="000A010D"/>
    <w:rsid w:val="000A0164"/>
    <w:rsid w:val="000A09BA"/>
    <w:rsid w:val="000A2772"/>
    <w:rsid w:val="000A2785"/>
    <w:rsid w:val="000A2BC1"/>
    <w:rsid w:val="000A33E4"/>
    <w:rsid w:val="000A3B0A"/>
    <w:rsid w:val="000B1AC2"/>
    <w:rsid w:val="000B2781"/>
    <w:rsid w:val="000B5647"/>
    <w:rsid w:val="000B5DD4"/>
    <w:rsid w:val="000B6B5A"/>
    <w:rsid w:val="000C01F5"/>
    <w:rsid w:val="000C2F02"/>
    <w:rsid w:val="000C4A02"/>
    <w:rsid w:val="000C5150"/>
    <w:rsid w:val="000D1E4C"/>
    <w:rsid w:val="000D5B17"/>
    <w:rsid w:val="000D628F"/>
    <w:rsid w:val="000E0265"/>
    <w:rsid w:val="000E0406"/>
    <w:rsid w:val="000E07F5"/>
    <w:rsid w:val="000E41EA"/>
    <w:rsid w:val="000E7110"/>
    <w:rsid w:val="000F40A6"/>
    <w:rsid w:val="000F52F5"/>
    <w:rsid w:val="000F6D1C"/>
    <w:rsid w:val="000F7547"/>
    <w:rsid w:val="001020BB"/>
    <w:rsid w:val="00102132"/>
    <w:rsid w:val="001043D3"/>
    <w:rsid w:val="00107158"/>
    <w:rsid w:val="00107501"/>
    <w:rsid w:val="00107D2D"/>
    <w:rsid w:val="00110425"/>
    <w:rsid w:val="00112714"/>
    <w:rsid w:val="00113C05"/>
    <w:rsid w:val="00115A6E"/>
    <w:rsid w:val="0012164D"/>
    <w:rsid w:val="00121B25"/>
    <w:rsid w:val="00121CAE"/>
    <w:rsid w:val="00123BD8"/>
    <w:rsid w:val="00124610"/>
    <w:rsid w:val="00130F9C"/>
    <w:rsid w:val="0013140F"/>
    <w:rsid w:val="0013314F"/>
    <w:rsid w:val="0013334A"/>
    <w:rsid w:val="00133F18"/>
    <w:rsid w:val="00144158"/>
    <w:rsid w:val="00145A3C"/>
    <w:rsid w:val="00145E05"/>
    <w:rsid w:val="001478F0"/>
    <w:rsid w:val="00150833"/>
    <w:rsid w:val="001513C9"/>
    <w:rsid w:val="00151EBD"/>
    <w:rsid w:val="00154299"/>
    <w:rsid w:val="001547F6"/>
    <w:rsid w:val="0015553A"/>
    <w:rsid w:val="001602FE"/>
    <w:rsid w:val="0016076A"/>
    <w:rsid w:val="00160D86"/>
    <w:rsid w:val="00164FB7"/>
    <w:rsid w:val="001666A8"/>
    <w:rsid w:val="00167CF9"/>
    <w:rsid w:val="00174F74"/>
    <w:rsid w:val="00175894"/>
    <w:rsid w:val="00176280"/>
    <w:rsid w:val="00176F89"/>
    <w:rsid w:val="00177129"/>
    <w:rsid w:val="00180150"/>
    <w:rsid w:val="00183B24"/>
    <w:rsid w:val="001855BD"/>
    <w:rsid w:val="001865D3"/>
    <w:rsid w:val="00187297"/>
    <w:rsid w:val="0019217B"/>
    <w:rsid w:val="00192CA6"/>
    <w:rsid w:val="00192D49"/>
    <w:rsid w:val="00192F32"/>
    <w:rsid w:val="00194892"/>
    <w:rsid w:val="00195FEE"/>
    <w:rsid w:val="001B2C12"/>
    <w:rsid w:val="001B3625"/>
    <w:rsid w:val="001B45ED"/>
    <w:rsid w:val="001B70D0"/>
    <w:rsid w:val="001C3F62"/>
    <w:rsid w:val="001C655B"/>
    <w:rsid w:val="001C6E56"/>
    <w:rsid w:val="001C6F72"/>
    <w:rsid w:val="001C731B"/>
    <w:rsid w:val="001D0B22"/>
    <w:rsid w:val="001D2B44"/>
    <w:rsid w:val="001D75A1"/>
    <w:rsid w:val="001D7DCC"/>
    <w:rsid w:val="001E55E2"/>
    <w:rsid w:val="001F1DA4"/>
    <w:rsid w:val="001F3D5E"/>
    <w:rsid w:val="001F66BB"/>
    <w:rsid w:val="002002F4"/>
    <w:rsid w:val="00204515"/>
    <w:rsid w:val="0020453B"/>
    <w:rsid w:val="002052EA"/>
    <w:rsid w:val="00205B1F"/>
    <w:rsid w:val="00206F17"/>
    <w:rsid w:val="00207404"/>
    <w:rsid w:val="002101F7"/>
    <w:rsid w:val="0021404D"/>
    <w:rsid w:val="00214280"/>
    <w:rsid w:val="0021633D"/>
    <w:rsid w:val="002173C1"/>
    <w:rsid w:val="00217B02"/>
    <w:rsid w:val="00222C81"/>
    <w:rsid w:val="002231B9"/>
    <w:rsid w:val="00224821"/>
    <w:rsid w:val="00226FA4"/>
    <w:rsid w:val="00230D9D"/>
    <w:rsid w:val="00231BEF"/>
    <w:rsid w:val="00234BFE"/>
    <w:rsid w:val="00235EF2"/>
    <w:rsid w:val="00240E4D"/>
    <w:rsid w:val="00247DBF"/>
    <w:rsid w:val="00251A8D"/>
    <w:rsid w:val="0025583A"/>
    <w:rsid w:val="002567B8"/>
    <w:rsid w:val="00256B1D"/>
    <w:rsid w:val="00256CFA"/>
    <w:rsid w:val="00263ACE"/>
    <w:rsid w:val="00272287"/>
    <w:rsid w:val="002756F1"/>
    <w:rsid w:val="002774DB"/>
    <w:rsid w:val="00277832"/>
    <w:rsid w:val="00280108"/>
    <w:rsid w:val="0029032F"/>
    <w:rsid w:val="00291A8E"/>
    <w:rsid w:val="00291FFE"/>
    <w:rsid w:val="002932B6"/>
    <w:rsid w:val="0029532A"/>
    <w:rsid w:val="002A0E7E"/>
    <w:rsid w:val="002A236B"/>
    <w:rsid w:val="002A4270"/>
    <w:rsid w:val="002A58DA"/>
    <w:rsid w:val="002A595E"/>
    <w:rsid w:val="002B01F6"/>
    <w:rsid w:val="002B3BED"/>
    <w:rsid w:val="002B40AE"/>
    <w:rsid w:val="002B4A9A"/>
    <w:rsid w:val="002C01A7"/>
    <w:rsid w:val="002C0CD5"/>
    <w:rsid w:val="002C1B06"/>
    <w:rsid w:val="002C5ABA"/>
    <w:rsid w:val="002C6DA1"/>
    <w:rsid w:val="002C7ABE"/>
    <w:rsid w:val="002D594D"/>
    <w:rsid w:val="002E14B3"/>
    <w:rsid w:val="002E4423"/>
    <w:rsid w:val="002F35E1"/>
    <w:rsid w:val="002F3A85"/>
    <w:rsid w:val="002F4288"/>
    <w:rsid w:val="002F46E9"/>
    <w:rsid w:val="002F4D09"/>
    <w:rsid w:val="002F4E53"/>
    <w:rsid w:val="002F6C1D"/>
    <w:rsid w:val="00300A9D"/>
    <w:rsid w:val="00303141"/>
    <w:rsid w:val="00304DF7"/>
    <w:rsid w:val="00312D4E"/>
    <w:rsid w:val="00320BAB"/>
    <w:rsid w:val="0032147E"/>
    <w:rsid w:val="00321EA3"/>
    <w:rsid w:val="00322B9E"/>
    <w:rsid w:val="003240C8"/>
    <w:rsid w:val="00330F2D"/>
    <w:rsid w:val="003379BA"/>
    <w:rsid w:val="00337D9A"/>
    <w:rsid w:val="003407B7"/>
    <w:rsid w:val="00342178"/>
    <w:rsid w:val="003432B2"/>
    <w:rsid w:val="00344B03"/>
    <w:rsid w:val="0034507C"/>
    <w:rsid w:val="003500C5"/>
    <w:rsid w:val="003509B6"/>
    <w:rsid w:val="003510E8"/>
    <w:rsid w:val="003668D1"/>
    <w:rsid w:val="00366EA2"/>
    <w:rsid w:val="00371BF8"/>
    <w:rsid w:val="00380745"/>
    <w:rsid w:val="003809CF"/>
    <w:rsid w:val="00382CE0"/>
    <w:rsid w:val="00386098"/>
    <w:rsid w:val="003861AD"/>
    <w:rsid w:val="003868C7"/>
    <w:rsid w:val="00386AAB"/>
    <w:rsid w:val="00390D0F"/>
    <w:rsid w:val="00391E85"/>
    <w:rsid w:val="00393B19"/>
    <w:rsid w:val="003A09F7"/>
    <w:rsid w:val="003A0F3E"/>
    <w:rsid w:val="003A1ACA"/>
    <w:rsid w:val="003A2D11"/>
    <w:rsid w:val="003A3F24"/>
    <w:rsid w:val="003A7065"/>
    <w:rsid w:val="003B0533"/>
    <w:rsid w:val="003B3DD2"/>
    <w:rsid w:val="003B42ED"/>
    <w:rsid w:val="003B65CB"/>
    <w:rsid w:val="003C0E1B"/>
    <w:rsid w:val="003C4CF1"/>
    <w:rsid w:val="003D2747"/>
    <w:rsid w:val="003D6B1C"/>
    <w:rsid w:val="003D7887"/>
    <w:rsid w:val="003E0B59"/>
    <w:rsid w:val="003E0D7D"/>
    <w:rsid w:val="003E3066"/>
    <w:rsid w:val="003E3DD6"/>
    <w:rsid w:val="003E58A3"/>
    <w:rsid w:val="003E61B9"/>
    <w:rsid w:val="003E645C"/>
    <w:rsid w:val="003F021D"/>
    <w:rsid w:val="003F072D"/>
    <w:rsid w:val="003F0BAC"/>
    <w:rsid w:val="003F1697"/>
    <w:rsid w:val="003F22EE"/>
    <w:rsid w:val="003F3DCC"/>
    <w:rsid w:val="003F5BC6"/>
    <w:rsid w:val="003F6AE4"/>
    <w:rsid w:val="00402E98"/>
    <w:rsid w:val="00404D91"/>
    <w:rsid w:val="00405A89"/>
    <w:rsid w:val="00411576"/>
    <w:rsid w:val="00411702"/>
    <w:rsid w:val="00412FA7"/>
    <w:rsid w:val="00414427"/>
    <w:rsid w:val="004157EF"/>
    <w:rsid w:val="00415D06"/>
    <w:rsid w:val="00422D38"/>
    <w:rsid w:val="00423B34"/>
    <w:rsid w:val="004256CD"/>
    <w:rsid w:val="00431D13"/>
    <w:rsid w:val="00432CB8"/>
    <w:rsid w:val="0043322A"/>
    <w:rsid w:val="00436C10"/>
    <w:rsid w:val="004405A9"/>
    <w:rsid w:val="00441113"/>
    <w:rsid w:val="0044452A"/>
    <w:rsid w:val="00444923"/>
    <w:rsid w:val="00446E67"/>
    <w:rsid w:val="00447651"/>
    <w:rsid w:val="00450C27"/>
    <w:rsid w:val="00464974"/>
    <w:rsid w:val="00464AE5"/>
    <w:rsid w:val="00465B57"/>
    <w:rsid w:val="00467BF5"/>
    <w:rsid w:val="00467E64"/>
    <w:rsid w:val="00473058"/>
    <w:rsid w:val="004751A2"/>
    <w:rsid w:val="004756ED"/>
    <w:rsid w:val="00480FD6"/>
    <w:rsid w:val="004820F1"/>
    <w:rsid w:val="00484BD7"/>
    <w:rsid w:val="004851FF"/>
    <w:rsid w:val="00490503"/>
    <w:rsid w:val="0049083C"/>
    <w:rsid w:val="00490F53"/>
    <w:rsid w:val="00491757"/>
    <w:rsid w:val="0049448E"/>
    <w:rsid w:val="004A589B"/>
    <w:rsid w:val="004A6FC9"/>
    <w:rsid w:val="004A7AC1"/>
    <w:rsid w:val="004B00D9"/>
    <w:rsid w:val="004B2022"/>
    <w:rsid w:val="004B2199"/>
    <w:rsid w:val="004B2BFB"/>
    <w:rsid w:val="004C01E6"/>
    <w:rsid w:val="004C140F"/>
    <w:rsid w:val="004C1BF0"/>
    <w:rsid w:val="004C1BF6"/>
    <w:rsid w:val="004C244F"/>
    <w:rsid w:val="004C4106"/>
    <w:rsid w:val="004D0A1B"/>
    <w:rsid w:val="004D25AD"/>
    <w:rsid w:val="004D7CDF"/>
    <w:rsid w:val="004D7EA2"/>
    <w:rsid w:val="004E068B"/>
    <w:rsid w:val="004E23A3"/>
    <w:rsid w:val="004E3702"/>
    <w:rsid w:val="004E3B4A"/>
    <w:rsid w:val="004E4C4E"/>
    <w:rsid w:val="004E597B"/>
    <w:rsid w:val="004E6829"/>
    <w:rsid w:val="004E6A5E"/>
    <w:rsid w:val="004F384B"/>
    <w:rsid w:val="004F7088"/>
    <w:rsid w:val="00501D92"/>
    <w:rsid w:val="00504912"/>
    <w:rsid w:val="0050625D"/>
    <w:rsid w:val="0051218D"/>
    <w:rsid w:val="005141AE"/>
    <w:rsid w:val="00520493"/>
    <w:rsid w:val="005214AB"/>
    <w:rsid w:val="00524B63"/>
    <w:rsid w:val="005251A5"/>
    <w:rsid w:val="00525D92"/>
    <w:rsid w:val="00534ABD"/>
    <w:rsid w:val="005424D9"/>
    <w:rsid w:val="00546BED"/>
    <w:rsid w:val="00550385"/>
    <w:rsid w:val="0055219C"/>
    <w:rsid w:val="005543FC"/>
    <w:rsid w:val="00555102"/>
    <w:rsid w:val="00556218"/>
    <w:rsid w:val="00556219"/>
    <w:rsid w:val="00556356"/>
    <w:rsid w:val="005570AD"/>
    <w:rsid w:val="005618B6"/>
    <w:rsid w:val="005640BA"/>
    <w:rsid w:val="00565573"/>
    <w:rsid w:val="00566998"/>
    <w:rsid w:val="00566D38"/>
    <w:rsid w:val="00566E21"/>
    <w:rsid w:val="00572394"/>
    <w:rsid w:val="00572720"/>
    <w:rsid w:val="005730E7"/>
    <w:rsid w:val="0057485B"/>
    <w:rsid w:val="00576FD4"/>
    <w:rsid w:val="00582390"/>
    <w:rsid w:val="00583850"/>
    <w:rsid w:val="00585174"/>
    <w:rsid w:val="0058531F"/>
    <w:rsid w:val="00590B98"/>
    <w:rsid w:val="005A0546"/>
    <w:rsid w:val="005A1186"/>
    <w:rsid w:val="005A246D"/>
    <w:rsid w:val="005A24BC"/>
    <w:rsid w:val="005A483D"/>
    <w:rsid w:val="005A67DB"/>
    <w:rsid w:val="005B3E9C"/>
    <w:rsid w:val="005B518B"/>
    <w:rsid w:val="005B671D"/>
    <w:rsid w:val="005B7C00"/>
    <w:rsid w:val="005D4AC9"/>
    <w:rsid w:val="005D63BA"/>
    <w:rsid w:val="005E0742"/>
    <w:rsid w:val="005E4F16"/>
    <w:rsid w:val="005E7BEB"/>
    <w:rsid w:val="005F30FC"/>
    <w:rsid w:val="005F4358"/>
    <w:rsid w:val="005F4ABA"/>
    <w:rsid w:val="005F536E"/>
    <w:rsid w:val="0060050F"/>
    <w:rsid w:val="0060076A"/>
    <w:rsid w:val="00601721"/>
    <w:rsid w:val="0060247C"/>
    <w:rsid w:val="00602FEE"/>
    <w:rsid w:val="00610FF0"/>
    <w:rsid w:val="00611618"/>
    <w:rsid w:val="0061423B"/>
    <w:rsid w:val="0061530F"/>
    <w:rsid w:val="00616224"/>
    <w:rsid w:val="00620908"/>
    <w:rsid w:val="006210BB"/>
    <w:rsid w:val="00626071"/>
    <w:rsid w:val="006301B1"/>
    <w:rsid w:val="00631923"/>
    <w:rsid w:val="00633BE8"/>
    <w:rsid w:val="00634DD2"/>
    <w:rsid w:val="00637901"/>
    <w:rsid w:val="00643459"/>
    <w:rsid w:val="006500FC"/>
    <w:rsid w:val="00651FC1"/>
    <w:rsid w:val="00660FD8"/>
    <w:rsid w:val="0066637F"/>
    <w:rsid w:val="006678E2"/>
    <w:rsid w:val="006710ED"/>
    <w:rsid w:val="00671A0D"/>
    <w:rsid w:val="0067316E"/>
    <w:rsid w:val="006811ED"/>
    <w:rsid w:val="00687293"/>
    <w:rsid w:val="00687CE6"/>
    <w:rsid w:val="00691D3A"/>
    <w:rsid w:val="00691EEE"/>
    <w:rsid w:val="00691F19"/>
    <w:rsid w:val="006968AB"/>
    <w:rsid w:val="006A32A2"/>
    <w:rsid w:val="006A3D64"/>
    <w:rsid w:val="006A636C"/>
    <w:rsid w:val="006A779B"/>
    <w:rsid w:val="006B078F"/>
    <w:rsid w:val="006B0D1D"/>
    <w:rsid w:val="006B157E"/>
    <w:rsid w:val="006B17D5"/>
    <w:rsid w:val="006B2365"/>
    <w:rsid w:val="006B4E29"/>
    <w:rsid w:val="006B4E4B"/>
    <w:rsid w:val="006B5860"/>
    <w:rsid w:val="006C0515"/>
    <w:rsid w:val="006C17AF"/>
    <w:rsid w:val="006C3CC3"/>
    <w:rsid w:val="006C59CB"/>
    <w:rsid w:val="006C74BC"/>
    <w:rsid w:val="006C7659"/>
    <w:rsid w:val="006D287A"/>
    <w:rsid w:val="006D3274"/>
    <w:rsid w:val="006D410E"/>
    <w:rsid w:val="006D549F"/>
    <w:rsid w:val="006D6051"/>
    <w:rsid w:val="006E32DB"/>
    <w:rsid w:val="006E3B55"/>
    <w:rsid w:val="006E5472"/>
    <w:rsid w:val="006E7DDB"/>
    <w:rsid w:val="00701ED2"/>
    <w:rsid w:val="0070662C"/>
    <w:rsid w:val="007074D7"/>
    <w:rsid w:val="00707C0D"/>
    <w:rsid w:val="00711EF5"/>
    <w:rsid w:val="00715C13"/>
    <w:rsid w:val="0071732A"/>
    <w:rsid w:val="00720B82"/>
    <w:rsid w:val="00721880"/>
    <w:rsid w:val="00722278"/>
    <w:rsid w:val="007222A7"/>
    <w:rsid w:val="00723469"/>
    <w:rsid w:val="0072541B"/>
    <w:rsid w:val="007256EE"/>
    <w:rsid w:val="00726D81"/>
    <w:rsid w:val="0072714B"/>
    <w:rsid w:val="00732625"/>
    <w:rsid w:val="00732C54"/>
    <w:rsid w:val="00733113"/>
    <w:rsid w:val="00735D08"/>
    <w:rsid w:val="007366C7"/>
    <w:rsid w:val="00742CE3"/>
    <w:rsid w:val="00743695"/>
    <w:rsid w:val="00750D2A"/>
    <w:rsid w:val="007516EC"/>
    <w:rsid w:val="00751879"/>
    <w:rsid w:val="00752A30"/>
    <w:rsid w:val="0075504E"/>
    <w:rsid w:val="00757586"/>
    <w:rsid w:val="00757B0F"/>
    <w:rsid w:val="007603E9"/>
    <w:rsid w:val="00762CEA"/>
    <w:rsid w:val="007638D3"/>
    <w:rsid w:val="0076521A"/>
    <w:rsid w:val="00767E72"/>
    <w:rsid w:val="00767F26"/>
    <w:rsid w:val="00774D71"/>
    <w:rsid w:val="007760DF"/>
    <w:rsid w:val="00780579"/>
    <w:rsid w:val="00785101"/>
    <w:rsid w:val="0079138B"/>
    <w:rsid w:val="00791FB8"/>
    <w:rsid w:val="00792887"/>
    <w:rsid w:val="007A5496"/>
    <w:rsid w:val="007A737E"/>
    <w:rsid w:val="007B6288"/>
    <w:rsid w:val="007B7344"/>
    <w:rsid w:val="007C5027"/>
    <w:rsid w:val="007C5658"/>
    <w:rsid w:val="007C5739"/>
    <w:rsid w:val="007D3D92"/>
    <w:rsid w:val="007D78DA"/>
    <w:rsid w:val="007F09AA"/>
    <w:rsid w:val="007F2381"/>
    <w:rsid w:val="007F3132"/>
    <w:rsid w:val="007F3C66"/>
    <w:rsid w:val="007F68CD"/>
    <w:rsid w:val="00804C87"/>
    <w:rsid w:val="008060E9"/>
    <w:rsid w:val="00807DE3"/>
    <w:rsid w:val="008141EA"/>
    <w:rsid w:val="0081789E"/>
    <w:rsid w:val="00824DEB"/>
    <w:rsid w:val="0082747A"/>
    <w:rsid w:val="00837766"/>
    <w:rsid w:val="0083793B"/>
    <w:rsid w:val="00837968"/>
    <w:rsid w:val="00837D70"/>
    <w:rsid w:val="008409BB"/>
    <w:rsid w:val="00846973"/>
    <w:rsid w:val="0085127C"/>
    <w:rsid w:val="008552EE"/>
    <w:rsid w:val="00855CA1"/>
    <w:rsid w:val="00856ED6"/>
    <w:rsid w:val="00862AFC"/>
    <w:rsid w:val="00866114"/>
    <w:rsid w:val="00871E3F"/>
    <w:rsid w:val="00873621"/>
    <w:rsid w:val="0087723B"/>
    <w:rsid w:val="0088034D"/>
    <w:rsid w:val="00880B34"/>
    <w:rsid w:val="00880C0F"/>
    <w:rsid w:val="008810C8"/>
    <w:rsid w:val="00882085"/>
    <w:rsid w:val="00882279"/>
    <w:rsid w:val="00885A76"/>
    <w:rsid w:val="00887EA9"/>
    <w:rsid w:val="00894ABC"/>
    <w:rsid w:val="00894B40"/>
    <w:rsid w:val="008A31A7"/>
    <w:rsid w:val="008A3729"/>
    <w:rsid w:val="008A7590"/>
    <w:rsid w:val="008B02A4"/>
    <w:rsid w:val="008B1CA7"/>
    <w:rsid w:val="008B54A8"/>
    <w:rsid w:val="008B7247"/>
    <w:rsid w:val="008B7475"/>
    <w:rsid w:val="008C2245"/>
    <w:rsid w:val="008C273F"/>
    <w:rsid w:val="008C2CBA"/>
    <w:rsid w:val="008D5DA1"/>
    <w:rsid w:val="008D736A"/>
    <w:rsid w:val="008E279D"/>
    <w:rsid w:val="008E3994"/>
    <w:rsid w:val="008E5372"/>
    <w:rsid w:val="008F0F74"/>
    <w:rsid w:val="008F46DA"/>
    <w:rsid w:val="008F6E21"/>
    <w:rsid w:val="00901CA2"/>
    <w:rsid w:val="0090307F"/>
    <w:rsid w:val="0090593F"/>
    <w:rsid w:val="00907F16"/>
    <w:rsid w:val="00914D28"/>
    <w:rsid w:val="00916D80"/>
    <w:rsid w:val="009211A4"/>
    <w:rsid w:val="00922FD2"/>
    <w:rsid w:val="00923EAB"/>
    <w:rsid w:val="00924EB4"/>
    <w:rsid w:val="009273A6"/>
    <w:rsid w:val="00930CA7"/>
    <w:rsid w:val="009360A8"/>
    <w:rsid w:val="00944528"/>
    <w:rsid w:val="00952CBE"/>
    <w:rsid w:val="00954BC1"/>
    <w:rsid w:val="00954FA3"/>
    <w:rsid w:val="00957531"/>
    <w:rsid w:val="0095756A"/>
    <w:rsid w:val="009702C0"/>
    <w:rsid w:val="00972329"/>
    <w:rsid w:val="00972FCA"/>
    <w:rsid w:val="00977D90"/>
    <w:rsid w:val="00981115"/>
    <w:rsid w:val="00985506"/>
    <w:rsid w:val="009933E8"/>
    <w:rsid w:val="0099382D"/>
    <w:rsid w:val="00994176"/>
    <w:rsid w:val="009A371F"/>
    <w:rsid w:val="009A3A12"/>
    <w:rsid w:val="009B3AF2"/>
    <w:rsid w:val="009C0969"/>
    <w:rsid w:val="009C23A2"/>
    <w:rsid w:val="009C3856"/>
    <w:rsid w:val="009C7490"/>
    <w:rsid w:val="009D0169"/>
    <w:rsid w:val="009D12B1"/>
    <w:rsid w:val="009D270D"/>
    <w:rsid w:val="009D3F8F"/>
    <w:rsid w:val="009D45DD"/>
    <w:rsid w:val="009D7C8E"/>
    <w:rsid w:val="009E28A5"/>
    <w:rsid w:val="009E3431"/>
    <w:rsid w:val="009E4CA8"/>
    <w:rsid w:val="009E5112"/>
    <w:rsid w:val="009F034A"/>
    <w:rsid w:val="009F226D"/>
    <w:rsid w:val="009F2F0A"/>
    <w:rsid w:val="009F4292"/>
    <w:rsid w:val="009F5092"/>
    <w:rsid w:val="00A00CA4"/>
    <w:rsid w:val="00A01524"/>
    <w:rsid w:val="00A07642"/>
    <w:rsid w:val="00A10963"/>
    <w:rsid w:val="00A1224E"/>
    <w:rsid w:val="00A123F8"/>
    <w:rsid w:val="00A2240A"/>
    <w:rsid w:val="00A22DB3"/>
    <w:rsid w:val="00A23475"/>
    <w:rsid w:val="00A238E7"/>
    <w:rsid w:val="00A25239"/>
    <w:rsid w:val="00A257A0"/>
    <w:rsid w:val="00A26370"/>
    <w:rsid w:val="00A30EC6"/>
    <w:rsid w:val="00A31CD5"/>
    <w:rsid w:val="00A34C4D"/>
    <w:rsid w:val="00A362DB"/>
    <w:rsid w:val="00A40EB3"/>
    <w:rsid w:val="00A4184B"/>
    <w:rsid w:val="00A42425"/>
    <w:rsid w:val="00A4418B"/>
    <w:rsid w:val="00A51D25"/>
    <w:rsid w:val="00A54037"/>
    <w:rsid w:val="00A55722"/>
    <w:rsid w:val="00A579C6"/>
    <w:rsid w:val="00A60E08"/>
    <w:rsid w:val="00A6104B"/>
    <w:rsid w:val="00A618D4"/>
    <w:rsid w:val="00A62EBB"/>
    <w:rsid w:val="00A65FAD"/>
    <w:rsid w:val="00A80646"/>
    <w:rsid w:val="00A82B52"/>
    <w:rsid w:val="00A837A4"/>
    <w:rsid w:val="00A85503"/>
    <w:rsid w:val="00A91241"/>
    <w:rsid w:val="00A9502C"/>
    <w:rsid w:val="00AA1E94"/>
    <w:rsid w:val="00AA3D07"/>
    <w:rsid w:val="00AA4A08"/>
    <w:rsid w:val="00AA6AF8"/>
    <w:rsid w:val="00AB36CE"/>
    <w:rsid w:val="00AC5E7B"/>
    <w:rsid w:val="00AD051B"/>
    <w:rsid w:val="00AD1B52"/>
    <w:rsid w:val="00AD5993"/>
    <w:rsid w:val="00AD63F0"/>
    <w:rsid w:val="00AD670A"/>
    <w:rsid w:val="00AE180F"/>
    <w:rsid w:val="00AE48D9"/>
    <w:rsid w:val="00AE638A"/>
    <w:rsid w:val="00AE7324"/>
    <w:rsid w:val="00AF03B6"/>
    <w:rsid w:val="00AF168B"/>
    <w:rsid w:val="00AF1D2B"/>
    <w:rsid w:val="00AF1FDC"/>
    <w:rsid w:val="00AF292F"/>
    <w:rsid w:val="00AF5A9A"/>
    <w:rsid w:val="00AF6DC9"/>
    <w:rsid w:val="00AF7EBA"/>
    <w:rsid w:val="00B11757"/>
    <w:rsid w:val="00B11F5C"/>
    <w:rsid w:val="00B16613"/>
    <w:rsid w:val="00B1702C"/>
    <w:rsid w:val="00B26870"/>
    <w:rsid w:val="00B27E7C"/>
    <w:rsid w:val="00B3003D"/>
    <w:rsid w:val="00B33B77"/>
    <w:rsid w:val="00B40F37"/>
    <w:rsid w:val="00B448C1"/>
    <w:rsid w:val="00B5031A"/>
    <w:rsid w:val="00B57D0F"/>
    <w:rsid w:val="00B57DC9"/>
    <w:rsid w:val="00B625C6"/>
    <w:rsid w:val="00B65FE9"/>
    <w:rsid w:val="00B70490"/>
    <w:rsid w:val="00B70A92"/>
    <w:rsid w:val="00B73935"/>
    <w:rsid w:val="00B7626C"/>
    <w:rsid w:val="00B765A9"/>
    <w:rsid w:val="00B82545"/>
    <w:rsid w:val="00B9361E"/>
    <w:rsid w:val="00B938DA"/>
    <w:rsid w:val="00B96407"/>
    <w:rsid w:val="00BA24D2"/>
    <w:rsid w:val="00BB1F78"/>
    <w:rsid w:val="00BB3BAE"/>
    <w:rsid w:val="00BB4A96"/>
    <w:rsid w:val="00BB65E5"/>
    <w:rsid w:val="00BB79C4"/>
    <w:rsid w:val="00BC269A"/>
    <w:rsid w:val="00BC37D8"/>
    <w:rsid w:val="00BC4CE2"/>
    <w:rsid w:val="00BC4D3B"/>
    <w:rsid w:val="00BC5B8D"/>
    <w:rsid w:val="00BC6903"/>
    <w:rsid w:val="00BC7875"/>
    <w:rsid w:val="00BD3668"/>
    <w:rsid w:val="00BD3A17"/>
    <w:rsid w:val="00BD3E4F"/>
    <w:rsid w:val="00BD4C1F"/>
    <w:rsid w:val="00BD7645"/>
    <w:rsid w:val="00BE614F"/>
    <w:rsid w:val="00BE7D79"/>
    <w:rsid w:val="00BF4158"/>
    <w:rsid w:val="00BF6644"/>
    <w:rsid w:val="00C009FE"/>
    <w:rsid w:val="00C11ADB"/>
    <w:rsid w:val="00C1218B"/>
    <w:rsid w:val="00C13026"/>
    <w:rsid w:val="00C149A1"/>
    <w:rsid w:val="00C1617C"/>
    <w:rsid w:val="00C17C43"/>
    <w:rsid w:val="00C17F5C"/>
    <w:rsid w:val="00C20244"/>
    <w:rsid w:val="00C23854"/>
    <w:rsid w:val="00C2527F"/>
    <w:rsid w:val="00C265A5"/>
    <w:rsid w:val="00C313FC"/>
    <w:rsid w:val="00C319A8"/>
    <w:rsid w:val="00C329E1"/>
    <w:rsid w:val="00C334E5"/>
    <w:rsid w:val="00C3396B"/>
    <w:rsid w:val="00C35735"/>
    <w:rsid w:val="00C3715C"/>
    <w:rsid w:val="00C40A0A"/>
    <w:rsid w:val="00C40AE8"/>
    <w:rsid w:val="00C4114E"/>
    <w:rsid w:val="00C41F00"/>
    <w:rsid w:val="00C4492D"/>
    <w:rsid w:val="00C459A5"/>
    <w:rsid w:val="00C46954"/>
    <w:rsid w:val="00C475AF"/>
    <w:rsid w:val="00C47717"/>
    <w:rsid w:val="00C503CC"/>
    <w:rsid w:val="00C57660"/>
    <w:rsid w:val="00C57FB6"/>
    <w:rsid w:val="00C61BB9"/>
    <w:rsid w:val="00C6312E"/>
    <w:rsid w:val="00C65871"/>
    <w:rsid w:val="00C70692"/>
    <w:rsid w:val="00C71D92"/>
    <w:rsid w:val="00C72C32"/>
    <w:rsid w:val="00C74EFA"/>
    <w:rsid w:val="00C8420E"/>
    <w:rsid w:val="00C85A9E"/>
    <w:rsid w:val="00C85C16"/>
    <w:rsid w:val="00C924F1"/>
    <w:rsid w:val="00C92D0C"/>
    <w:rsid w:val="00C93724"/>
    <w:rsid w:val="00C94C2B"/>
    <w:rsid w:val="00C95ED4"/>
    <w:rsid w:val="00CA120E"/>
    <w:rsid w:val="00CA7817"/>
    <w:rsid w:val="00CB00C5"/>
    <w:rsid w:val="00CB16B8"/>
    <w:rsid w:val="00CB77F6"/>
    <w:rsid w:val="00CB7902"/>
    <w:rsid w:val="00CC08A4"/>
    <w:rsid w:val="00CC0EBC"/>
    <w:rsid w:val="00CC3100"/>
    <w:rsid w:val="00CC4A06"/>
    <w:rsid w:val="00CC527B"/>
    <w:rsid w:val="00CC6C31"/>
    <w:rsid w:val="00CC7032"/>
    <w:rsid w:val="00CD26E8"/>
    <w:rsid w:val="00CD38E0"/>
    <w:rsid w:val="00CD4D8E"/>
    <w:rsid w:val="00CD5614"/>
    <w:rsid w:val="00CE19BA"/>
    <w:rsid w:val="00CE5FBC"/>
    <w:rsid w:val="00CE65D1"/>
    <w:rsid w:val="00CE686C"/>
    <w:rsid w:val="00CF0257"/>
    <w:rsid w:val="00CF1A61"/>
    <w:rsid w:val="00CF2D6B"/>
    <w:rsid w:val="00CF2F26"/>
    <w:rsid w:val="00CF550F"/>
    <w:rsid w:val="00CF6C6B"/>
    <w:rsid w:val="00CF75DB"/>
    <w:rsid w:val="00D01422"/>
    <w:rsid w:val="00D04F33"/>
    <w:rsid w:val="00D06CB8"/>
    <w:rsid w:val="00D14AD5"/>
    <w:rsid w:val="00D1692E"/>
    <w:rsid w:val="00D179B5"/>
    <w:rsid w:val="00D204CA"/>
    <w:rsid w:val="00D23C1D"/>
    <w:rsid w:val="00D250FE"/>
    <w:rsid w:val="00D30A58"/>
    <w:rsid w:val="00D311B8"/>
    <w:rsid w:val="00D346F1"/>
    <w:rsid w:val="00D34AC2"/>
    <w:rsid w:val="00D35948"/>
    <w:rsid w:val="00D37076"/>
    <w:rsid w:val="00D37A33"/>
    <w:rsid w:val="00D4363B"/>
    <w:rsid w:val="00D43BF8"/>
    <w:rsid w:val="00D45E15"/>
    <w:rsid w:val="00D46939"/>
    <w:rsid w:val="00D4743C"/>
    <w:rsid w:val="00D511F7"/>
    <w:rsid w:val="00D51A05"/>
    <w:rsid w:val="00D5335F"/>
    <w:rsid w:val="00D5492E"/>
    <w:rsid w:val="00D633B0"/>
    <w:rsid w:val="00D648C5"/>
    <w:rsid w:val="00D64A02"/>
    <w:rsid w:val="00D67E93"/>
    <w:rsid w:val="00D70EFD"/>
    <w:rsid w:val="00D72F45"/>
    <w:rsid w:val="00D75410"/>
    <w:rsid w:val="00D75413"/>
    <w:rsid w:val="00D76AB7"/>
    <w:rsid w:val="00D76EE3"/>
    <w:rsid w:val="00D8283F"/>
    <w:rsid w:val="00D845CA"/>
    <w:rsid w:val="00D96C88"/>
    <w:rsid w:val="00D970BB"/>
    <w:rsid w:val="00DA69E9"/>
    <w:rsid w:val="00DB2DAD"/>
    <w:rsid w:val="00DB61DA"/>
    <w:rsid w:val="00DB74E1"/>
    <w:rsid w:val="00DB7512"/>
    <w:rsid w:val="00DB7B3A"/>
    <w:rsid w:val="00DB7BDD"/>
    <w:rsid w:val="00DC2328"/>
    <w:rsid w:val="00DC769E"/>
    <w:rsid w:val="00DC76F2"/>
    <w:rsid w:val="00DC79E3"/>
    <w:rsid w:val="00DD016D"/>
    <w:rsid w:val="00DD1AA0"/>
    <w:rsid w:val="00DD4DEA"/>
    <w:rsid w:val="00DD4F89"/>
    <w:rsid w:val="00DD5103"/>
    <w:rsid w:val="00DD74C2"/>
    <w:rsid w:val="00DE2A1E"/>
    <w:rsid w:val="00DE4FEF"/>
    <w:rsid w:val="00DF2C76"/>
    <w:rsid w:val="00DF7CEE"/>
    <w:rsid w:val="00E01013"/>
    <w:rsid w:val="00E01F69"/>
    <w:rsid w:val="00E02A47"/>
    <w:rsid w:val="00E03896"/>
    <w:rsid w:val="00E07A99"/>
    <w:rsid w:val="00E1196B"/>
    <w:rsid w:val="00E11FF9"/>
    <w:rsid w:val="00E20741"/>
    <w:rsid w:val="00E21004"/>
    <w:rsid w:val="00E2299D"/>
    <w:rsid w:val="00E22E82"/>
    <w:rsid w:val="00E24098"/>
    <w:rsid w:val="00E25813"/>
    <w:rsid w:val="00E25885"/>
    <w:rsid w:val="00E3395D"/>
    <w:rsid w:val="00E34B74"/>
    <w:rsid w:val="00E34BAC"/>
    <w:rsid w:val="00E36D08"/>
    <w:rsid w:val="00E372A4"/>
    <w:rsid w:val="00E4313F"/>
    <w:rsid w:val="00E43961"/>
    <w:rsid w:val="00E43CD9"/>
    <w:rsid w:val="00E458C7"/>
    <w:rsid w:val="00E478A6"/>
    <w:rsid w:val="00E5169B"/>
    <w:rsid w:val="00E5213A"/>
    <w:rsid w:val="00E52270"/>
    <w:rsid w:val="00E547A8"/>
    <w:rsid w:val="00E55FF1"/>
    <w:rsid w:val="00E57FA6"/>
    <w:rsid w:val="00E60000"/>
    <w:rsid w:val="00E628F9"/>
    <w:rsid w:val="00E62A5E"/>
    <w:rsid w:val="00E702C7"/>
    <w:rsid w:val="00E70E4E"/>
    <w:rsid w:val="00E7558F"/>
    <w:rsid w:val="00E76F83"/>
    <w:rsid w:val="00E7750A"/>
    <w:rsid w:val="00E92931"/>
    <w:rsid w:val="00E9362F"/>
    <w:rsid w:val="00E955B0"/>
    <w:rsid w:val="00E96E1A"/>
    <w:rsid w:val="00E97B98"/>
    <w:rsid w:val="00EA053A"/>
    <w:rsid w:val="00EA27BF"/>
    <w:rsid w:val="00EA2F4D"/>
    <w:rsid w:val="00EA5719"/>
    <w:rsid w:val="00EA7488"/>
    <w:rsid w:val="00EB2029"/>
    <w:rsid w:val="00EB29AB"/>
    <w:rsid w:val="00EB2ECF"/>
    <w:rsid w:val="00EB5917"/>
    <w:rsid w:val="00EB7D47"/>
    <w:rsid w:val="00EC4C65"/>
    <w:rsid w:val="00ED108D"/>
    <w:rsid w:val="00ED39EF"/>
    <w:rsid w:val="00EE1DBF"/>
    <w:rsid w:val="00EE26EF"/>
    <w:rsid w:val="00EE3E93"/>
    <w:rsid w:val="00EE5B31"/>
    <w:rsid w:val="00EE5BBD"/>
    <w:rsid w:val="00EF48D9"/>
    <w:rsid w:val="00EF5088"/>
    <w:rsid w:val="00EF7422"/>
    <w:rsid w:val="00EF7E68"/>
    <w:rsid w:val="00F02E9E"/>
    <w:rsid w:val="00F0370F"/>
    <w:rsid w:val="00F07888"/>
    <w:rsid w:val="00F1078A"/>
    <w:rsid w:val="00F10D2F"/>
    <w:rsid w:val="00F12050"/>
    <w:rsid w:val="00F17B9B"/>
    <w:rsid w:val="00F31CAE"/>
    <w:rsid w:val="00F33BD7"/>
    <w:rsid w:val="00F34206"/>
    <w:rsid w:val="00F3575C"/>
    <w:rsid w:val="00F35E79"/>
    <w:rsid w:val="00F379D5"/>
    <w:rsid w:val="00F405D3"/>
    <w:rsid w:val="00F42E36"/>
    <w:rsid w:val="00F42E77"/>
    <w:rsid w:val="00F47EA1"/>
    <w:rsid w:val="00F5074C"/>
    <w:rsid w:val="00F514D6"/>
    <w:rsid w:val="00F52080"/>
    <w:rsid w:val="00F548BE"/>
    <w:rsid w:val="00F55269"/>
    <w:rsid w:val="00F573C9"/>
    <w:rsid w:val="00F60C07"/>
    <w:rsid w:val="00F64448"/>
    <w:rsid w:val="00F646CD"/>
    <w:rsid w:val="00F6515D"/>
    <w:rsid w:val="00F67643"/>
    <w:rsid w:val="00F73B6C"/>
    <w:rsid w:val="00F7520A"/>
    <w:rsid w:val="00F77A20"/>
    <w:rsid w:val="00F85033"/>
    <w:rsid w:val="00F8629A"/>
    <w:rsid w:val="00F927A8"/>
    <w:rsid w:val="00F937AF"/>
    <w:rsid w:val="00F9417B"/>
    <w:rsid w:val="00F94C02"/>
    <w:rsid w:val="00F9598F"/>
    <w:rsid w:val="00F97963"/>
    <w:rsid w:val="00FA0339"/>
    <w:rsid w:val="00FA474E"/>
    <w:rsid w:val="00FA5995"/>
    <w:rsid w:val="00FA5B57"/>
    <w:rsid w:val="00FA766A"/>
    <w:rsid w:val="00FB3FD3"/>
    <w:rsid w:val="00FB676E"/>
    <w:rsid w:val="00FC111D"/>
    <w:rsid w:val="00FC4B73"/>
    <w:rsid w:val="00FC5222"/>
    <w:rsid w:val="00FC5CA1"/>
    <w:rsid w:val="00FC628A"/>
    <w:rsid w:val="00FC78E6"/>
    <w:rsid w:val="00FD2530"/>
    <w:rsid w:val="00FD3E1A"/>
    <w:rsid w:val="00FD4E06"/>
    <w:rsid w:val="00FD7DD7"/>
    <w:rsid w:val="00FE2376"/>
    <w:rsid w:val="00FE36B8"/>
    <w:rsid w:val="00FE3FDC"/>
    <w:rsid w:val="00FE6E41"/>
    <w:rsid w:val="00FE71DD"/>
    <w:rsid w:val="00FE72D1"/>
    <w:rsid w:val="00FE7777"/>
    <w:rsid w:val="00FF3816"/>
    <w:rsid w:val="00FF3B06"/>
    <w:rsid w:val="00FF662D"/>
    <w:rsid w:val="00FF6813"/>
    <w:rsid w:val="0111561D"/>
    <w:rsid w:val="022A6766"/>
    <w:rsid w:val="022F2802"/>
    <w:rsid w:val="027F2C85"/>
    <w:rsid w:val="02A50EFC"/>
    <w:rsid w:val="030737D5"/>
    <w:rsid w:val="03920A67"/>
    <w:rsid w:val="03AA5DB1"/>
    <w:rsid w:val="04F416F0"/>
    <w:rsid w:val="05475595"/>
    <w:rsid w:val="05527FED"/>
    <w:rsid w:val="05D11D1B"/>
    <w:rsid w:val="05D9297D"/>
    <w:rsid w:val="06646C39"/>
    <w:rsid w:val="07846919"/>
    <w:rsid w:val="086E55FF"/>
    <w:rsid w:val="09A258F5"/>
    <w:rsid w:val="09C761BB"/>
    <w:rsid w:val="0A155C97"/>
    <w:rsid w:val="0A9774C0"/>
    <w:rsid w:val="0B8E5FB8"/>
    <w:rsid w:val="0C395F24"/>
    <w:rsid w:val="0C3C4465"/>
    <w:rsid w:val="0C793B64"/>
    <w:rsid w:val="0CAC4948"/>
    <w:rsid w:val="0CB453C7"/>
    <w:rsid w:val="0CF72B0B"/>
    <w:rsid w:val="0DA16476"/>
    <w:rsid w:val="0DB90889"/>
    <w:rsid w:val="0E3F3323"/>
    <w:rsid w:val="0E4E2ADB"/>
    <w:rsid w:val="0E805C8D"/>
    <w:rsid w:val="0F63426C"/>
    <w:rsid w:val="0F64066D"/>
    <w:rsid w:val="0F740D01"/>
    <w:rsid w:val="0F95499A"/>
    <w:rsid w:val="0FBF5252"/>
    <w:rsid w:val="1010343F"/>
    <w:rsid w:val="10125F50"/>
    <w:rsid w:val="1027571C"/>
    <w:rsid w:val="103C2486"/>
    <w:rsid w:val="11845E2D"/>
    <w:rsid w:val="1199436A"/>
    <w:rsid w:val="11E735B6"/>
    <w:rsid w:val="11EF2E28"/>
    <w:rsid w:val="128578EE"/>
    <w:rsid w:val="12C80001"/>
    <w:rsid w:val="12D77599"/>
    <w:rsid w:val="1328563A"/>
    <w:rsid w:val="139F4D6C"/>
    <w:rsid w:val="148B601A"/>
    <w:rsid w:val="15716BCB"/>
    <w:rsid w:val="15933DFA"/>
    <w:rsid w:val="165B6134"/>
    <w:rsid w:val="16BE1E47"/>
    <w:rsid w:val="17B57BF4"/>
    <w:rsid w:val="181A59B3"/>
    <w:rsid w:val="187A08A2"/>
    <w:rsid w:val="18B118AD"/>
    <w:rsid w:val="18C75B7D"/>
    <w:rsid w:val="18D609B8"/>
    <w:rsid w:val="1A022078"/>
    <w:rsid w:val="1A5E403C"/>
    <w:rsid w:val="1A6307CF"/>
    <w:rsid w:val="1C0E7663"/>
    <w:rsid w:val="1D9B7158"/>
    <w:rsid w:val="1DC13FCB"/>
    <w:rsid w:val="1DC61A84"/>
    <w:rsid w:val="1E40188A"/>
    <w:rsid w:val="1E4F7829"/>
    <w:rsid w:val="1E643755"/>
    <w:rsid w:val="1F95570F"/>
    <w:rsid w:val="20144041"/>
    <w:rsid w:val="202564D8"/>
    <w:rsid w:val="20C6324C"/>
    <w:rsid w:val="20F638AD"/>
    <w:rsid w:val="2186530F"/>
    <w:rsid w:val="21F30C1F"/>
    <w:rsid w:val="22610E74"/>
    <w:rsid w:val="22B305AF"/>
    <w:rsid w:val="230F68FD"/>
    <w:rsid w:val="23340416"/>
    <w:rsid w:val="2432593B"/>
    <w:rsid w:val="2435126F"/>
    <w:rsid w:val="244B78A2"/>
    <w:rsid w:val="251153A4"/>
    <w:rsid w:val="267248B0"/>
    <w:rsid w:val="26E665E6"/>
    <w:rsid w:val="27697371"/>
    <w:rsid w:val="278422F1"/>
    <w:rsid w:val="27AA7261"/>
    <w:rsid w:val="285A5004"/>
    <w:rsid w:val="28B81B5C"/>
    <w:rsid w:val="28CB21A2"/>
    <w:rsid w:val="28E4233D"/>
    <w:rsid w:val="28F8510E"/>
    <w:rsid w:val="2A392506"/>
    <w:rsid w:val="2A73489F"/>
    <w:rsid w:val="2A7736B7"/>
    <w:rsid w:val="2B077C82"/>
    <w:rsid w:val="2C4E7372"/>
    <w:rsid w:val="2C7F752B"/>
    <w:rsid w:val="2E0806DA"/>
    <w:rsid w:val="2E51291A"/>
    <w:rsid w:val="2E7035CF"/>
    <w:rsid w:val="2E7A15D6"/>
    <w:rsid w:val="2F5E5B1E"/>
    <w:rsid w:val="2F6101B9"/>
    <w:rsid w:val="2FCB62C7"/>
    <w:rsid w:val="3021175A"/>
    <w:rsid w:val="3244724D"/>
    <w:rsid w:val="32912E6F"/>
    <w:rsid w:val="32B626A0"/>
    <w:rsid w:val="331C0033"/>
    <w:rsid w:val="342E70A0"/>
    <w:rsid w:val="34B561E0"/>
    <w:rsid w:val="34DA1006"/>
    <w:rsid w:val="3529097C"/>
    <w:rsid w:val="35596B81"/>
    <w:rsid w:val="35724126"/>
    <w:rsid w:val="358A766C"/>
    <w:rsid w:val="35EF7D9D"/>
    <w:rsid w:val="37014869"/>
    <w:rsid w:val="375C2B61"/>
    <w:rsid w:val="38C4335B"/>
    <w:rsid w:val="392679FC"/>
    <w:rsid w:val="3929719C"/>
    <w:rsid w:val="398B0C72"/>
    <w:rsid w:val="3AA07647"/>
    <w:rsid w:val="3AA170C2"/>
    <w:rsid w:val="3C167061"/>
    <w:rsid w:val="3C1E28BD"/>
    <w:rsid w:val="3C79773F"/>
    <w:rsid w:val="3D04387B"/>
    <w:rsid w:val="3DA7342C"/>
    <w:rsid w:val="3DBD71E5"/>
    <w:rsid w:val="3E907376"/>
    <w:rsid w:val="3EA309AA"/>
    <w:rsid w:val="3EAB41B0"/>
    <w:rsid w:val="3EC57E01"/>
    <w:rsid w:val="3F572108"/>
    <w:rsid w:val="3F5E6266"/>
    <w:rsid w:val="3F663F5C"/>
    <w:rsid w:val="3FF87F0F"/>
    <w:rsid w:val="401D732F"/>
    <w:rsid w:val="40E43EBD"/>
    <w:rsid w:val="42403381"/>
    <w:rsid w:val="42B41F8B"/>
    <w:rsid w:val="436314FD"/>
    <w:rsid w:val="445A3086"/>
    <w:rsid w:val="44AB2337"/>
    <w:rsid w:val="44D716C6"/>
    <w:rsid w:val="45224F4A"/>
    <w:rsid w:val="45447435"/>
    <w:rsid w:val="454D00CB"/>
    <w:rsid w:val="45965BB9"/>
    <w:rsid w:val="45DB537A"/>
    <w:rsid w:val="463F367D"/>
    <w:rsid w:val="468C56A5"/>
    <w:rsid w:val="4844252A"/>
    <w:rsid w:val="485E5B21"/>
    <w:rsid w:val="491813C1"/>
    <w:rsid w:val="49A30A8D"/>
    <w:rsid w:val="49FB3F3D"/>
    <w:rsid w:val="4A0B363C"/>
    <w:rsid w:val="4A2D7D16"/>
    <w:rsid w:val="4A6718D3"/>
    <w:rsid w:val="4A7E6C1C"/>
    <w:rsid w:val="4AB83EDC"/>
    <w:rsid w:val="4B2647D6"/>
    <w:rsid w:val="4B5F286C"/>
    <w:rsid w:val="4B62409E"/>
    <w:rsid w:val="4C905F50"/>
    <w:rsid w:val="4CC76658"/>
    <w:rsid w:val="4CFB6302"/>
    <w:rsid w:val="4E191DD0"/>
    <w:rsid w:val="4EBA17BA"/>
    <w:rsid w:val="4F8F79C5"/>
    <w:rsid w:val="50534382"/>
    <w:rsid w:val="505548B9"/>
    <w:rsid w:val="52666914"/>
    <w:rsid w:val="52851C93"/>
    <w:rsid w:val="53061DBE"/>
    <w:rsid w:val="53764934"/>
    <w:rsid w:val="541C5FE9"/>
    <w:rsid w:val="5424183B"/>
    <w:rsid w:val="546E385E"/>
    <w:rsid w:val="54746A8E"/>
    <w:rsid w:val="564826AA"/>
    <w:rsid w:val="56FA587C"/>
    <w:rsid w:val="59CF1242"/>
    <w:rsid w:val="5B454BC6"/>
    <w:rsid w:val="5B672B00"/>
    <w:rsid w:val="5B970753"/>
    <w:rsid w:val="5BAC61E0"/>
    <w:rsid w:val="5BBB19AD"/>
    <w:rsid w:val="5BBD2FE1"/>
    <w:rsid w:val="5C266015"/>
    <w:rsid w:val="5C2C3269"/>
    <w:rsid w:val="5CC9311F"/>
    <w:rsid w:val="5D35760E"/>
    <w:rsid w:val="5D481A5D"/>
    <w:rsid w:val="5D677EDE"/>
    <w:rsid w:val="5EA66AD7"/>
    <w:rsid w:val="5EC21363"/>
    <w:rsid w:val="5FA269EB"/>
    <w:rsid w:val="5FDD5086"/>
    <w:rsid w:val="60BA1691"/>
    <w:rsid w:val="61F25ACE"/>
    <w:rsid w:val="62621ACA"/>
    <w:rsid w:val="62643A48"/>
    <w:rsid w:val="62691297"/>
    <w:rsid w:val="63626C83"/>
    <w:rsid w:val="639861F3"/>
    <w:rsid w:val="63C90B41"/>
    <w:rsid w:val="64864C07"/>
    <w:rsid w:val="652561BA"/>
    <w:rsid w:val="659E6B06"/>
    <w:rsid w:val="683D46F4"/>
    <w:rsid w:val="68D15B28"/>
    <w:rsid w:val="68ED3493"/>
    <w:rsid w:val="698536CB"/>
    <w:rsid w:val="69AA7335"/>
    <w:rsid w:val="69C14FA0"/>
    <w:rsid w:val="6A3D54EC"/>
    <w:rsid w:val="6A64495F"/>
    <w:rsid w:val="6AD1341B"/>
    <w:rsid w:val="6B525BBB"/>
    <w:rsid w:val="6B8754D9"/>
    <w:rsid w:val="6B967216"/>
    <w:rsid w:val="6B9B13CF"/>
    <w:rsid w:val="6BB713F9"/>
    <w:rsid w:val="6BB81500"/>
    <w:rsid w:val="6CA10D6E"/>
    <w:rsid w:val="6CE0337C"/>
    <w:rsid w:val="6D0019E7"/>
    <w:rsid w:val="6E3F7668"/>
    <w:rsid w:val="70293003"/>
    <w:rsid w:val="72150349"/>
    <w:rsid w:val="72EA3495"/>
    <w:rsid w:val="73F809E8"/>
    <w:rsid w:val="743F0A22"/>
    <w:rsid w:val="745B1E8D"/>
    <w:rsid w:val="74BD640F"/>
    <w:rsid w:val="760D3B3A"/>
    <w:rsid w:val="78B701D3"/>
    <w:rsid w:val="79014E1B"/>
    <w:rsid w:val="791B54B2"/>
    <w:rsid w:val="792A28EB"/>
    <w:rsid w:val="79585C39"/>
    <w:rsid w:val="7A9D7F11"/>
    <w:rsid w:val="7AA13B67"/>
    <w:rsid w:val="7B0801D9"/>
    <w:rsid w:val="7B081DCA"/>
    <w:rsid w:val="7BCB31C0"/>
    <w:rsid w:val="7C96135F"/>
    <w:rsid w:val="7D42123C"/>
    <w:rsid w:val="7D7B0C16"/>
    <w:rsid w:val="7D9426EE"/>
    <w:rsid w:val="7D9466DD"/>
    <w:rsid w:val="7F0C3EEE"/>
    <w:rsid w:val="7F1618BD"/>
    <w:rsid w:val="7F4B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6"/>
    <w:next w:val="1"/>
    <w:unhideWhenUsed/>
    <w:qFormat/>
    <w:uiPriority w:val="9"/>
    <w:pPr>
      <w:outlineLvl w:val="2"/>
    </w:pPr>
    <w:rPr>
      <w:rFonts w:ascii="黑体" w:hAnsi="黑体" w:eastAsia="黑体"/>
      <w:b w:val="0"/>
      <w:sz w:val="24"/>
    </w:rPr>
  </w:style>
  <w:style w:type="paragraph" w:styleId="8">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28" w:right="93"/>
    </w:pPr>
    <w:rPr>
      <w:rFonts w:ascii="宋体" w:hAnsi="宋体" w:cs="宋体"/>
      <w:sz w:val="22"/>
      <w:lang w:val="zh-CN" w:bidi="zh-CN"/>
    </w:rPr>
  </w:style>
  <w:style w:type="paragraph" w:styleId="3">
    <w:name w:val="Body Text First Indent"/>
    <w:basedOn w:val="2"/>
    <w:next w:val="4"/>
    <w:qFormat/>
    <w:uiPriority w:val="0"/>
    <w:pPr>
      <w:autoSpaceDE w:val="0"/>
      <w:autoSpaceDN w:val="0"/>
      <w:ind w:firstLine="420" w:firstLineChars="100"/>
    </w:pPr>
    <w:rPr>
      <w:rFonts w:ascii="Times New Roman" w:hAnsi="Times New Roman"/>
      <w:kern w:val="0"/>
    </w:rPr>
  </w:style>
  <w:style w:type="paragraph" w:styleId="4">
    <w:name w:val="toc 6"/>
    <w:basedOn w:val="1"/>
    <w:next w:val="1"/>
    <w:qFormat/>
    <w:uiPriority w:val="0"/>
    <w:pPr>
      <w:ind w:left="1050"/>
      <w:jc w:val="left"/>
    </w:pPr>
    <w:rPr>
      <w:rFonts w:ascii="Calibri" w:hAnsi="Calibri" w:cs="Calibri"/>
      <w:sz w:val="18"/>
      <w:szCs w:val="18"/>
    </w:rPr>
  </w:style>
  <w:style w:type="paragraph" w:styleId="9">
    <w:name w:val="annotation text"/>
    <w:basedOn w:val="1"/>
    <w:link w:val="28"/>
    <w:unhideWhenUsed/>
    <w:qFormat/>
    <w:uiPriority w:val="99"/>
    <w:pPr>
      <w:jc w:val="left"/>
    </w:pPr>
  </w:style>
  <w:style w:type="paragraph" w:styleId="10">
    <w:name w:val="Date"/>
    <w:basedOn w:val="1"/>
    <w:next w:val="1"/>
    <w:autoRedefine/>
    <w:qFormat/>
    <w:uiPriority w:val="0"/>
    <w:rPr>
      <w:rFonts w:ascii="黑体" w:hAnsi="Times New Roman" w:eastAsia="黑体" w:cs="Times New Roman"/>
      <w:sz w:val="30"/>
      <w:szCs w:val="20"/>
    </w:rPr>
  </w:style>
  <w:style w:type="paragraph" w:styleId="11">
    <w:name w:val="Balloon Text"/>
    <w:basedOn w:val="1"/>
    <w:link w:val="45"/>
    <w:autoRedefine/>
    <w:semiHidden/>
    <w:unhideWhenUsed/>
    <w:qFormat/>
    <w:uiPriority w:val="99"/>
    <w:rPr>
      <w:sz w:val="18"/>
      <w:szCs w:val="18"/>
    </w:rPr>
  </w:style>
  <w:style w:type="paragraph" w:styleId="12">
    <w:name w:val="footer"/>
    <w:basedOn w:val="1"/>
    <w:link w:val="40"/>
    <w:autoRedefine/>
    <w:unhideWhenUsed/>
    <w:qFormat/>
    <w:uiPriority w:val="99"/>
    <w:pPr>
      <w:tabs>
        <w:tab w:val="center" w:pos="4153"/>
        <w:tab w:val="right" w:pos="8306"/>
      </w:tabs>
      <w:snapToGrid w:val="0"/>
      <w:jc w:val="left"/>
    </w:pPr>
    <w:rPr>
      <w:sz w:val="18"/>
      <w:szCs w:val="18"/>
    </w:rPr>
  </w:style>
  <w:style w:type="paragraph" w:styleId="13">
    <w:name w:val="header"/>
    <w:basedOn w:val="1"/>
    <w:link w:val="39"/>
    <w:autoRedefine/>
    <w:unhideWhenUsed/>
    <w:qFormat/>
    <w:uiPriority w:val="99"/>
    <w:pP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toc 2"/>
    <w:basedOn w:val="1"/>
    <w:next w:val="1"/>
    <w:autoRedefine/>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jc w:val="left"/>
    </w:pPr>
    <w:rPr>
      <w:rFonts w:cs="Times New Roman"/>
      <w:kern w:val="0"/>
      <w:sz w:val="24"/>
    </w:rPr>
  </w:style>
  <w:style w:type="paragraph" w:styleId="17">
    <w:name w:val="annotation subject"/>
    <w:basedOn w:val="9"/>
    <w:next w:val="9"/>
    <w:link w:val="29"/>
    <w:autoRedefine/>
    <w:semiHidden/>
    <w:unhideWhenUsed/>
    <w:qFormat/>
    <w:uiPriority w:val="99"/>
    <w:rPr>
      <w:b/>
      <w:bCs/>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rPr>
  </w:style>
  <w:style w:type="character" w:styleId="22">
    <w:name w:val="page number"/>
    <w:basedOn w:val="20"/>
    <w:autoRedefine/>
    <w:qFormat/>
    <w:uiPriority w:val="0"/>
  </w:style>
  <w:style w:type="character" w:styleId="23">
    <w:name w:val="Emphasis"/>
    <w:basedOn w:val="20"/>
    <w:qFormat/>
    <w:uiPriority w:val="20"/>
    <w:rPr>
      <w:i/>
    </w:rPr>
  </w:style>
  <w:style w:type="character" w:styleId="24">
    <w:name w:val="Hyperlink"/>
    <w:basedOn w:val="20"/>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0"/>
    <w:autoRedefine/>
    <w:semiHidden/>
    <w:unhideWhenUsed/>
    <w:qFormat/>
    <w:uiPriority w:val="99"/>
    <w:rPr>
      <w:sz w:val="21"/>
      <w:szCs w:val="21"/>
    </w:rPr>
  </w:style>
  <w:style w:type="paragraph" w:styleId="26">
    <w:name w:val="List Paragraph"/>
    <w:basedOn w:val="1"/>
    <w:autoRedefine/>
    <w:qFormat/>
    <w:uiPriority w:val="34"/>
    <w:pPr>
      <w:ind w:firstLine="420" w:firstLineChars="200"/>
    </w:pPr>
  </w:style>
  <w:style w:type="paragraph" w:customStyle="1" w:styleId="2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8">
    <w:name w:val="批注文字 字符"/>
    <w:basedOn w:val="20"/>
    <w:link w:val="9"/>
    <w:autoRedefine/>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7"/>
    <w:autoRedefine/>
    <w:semiHidden/>
    <w:qFormat/>
    <w:uiPriority w:val="99"/>
    <w:rPr>
      <w:rFonts w:asciiTheme="minorHAnsi" w:hAnsiTheme="minorHAnsi" w:eastAsiaTheme="minorEastAsia" w:cstheme="minorBidi"/>
      <w:b/>
      <w:bCs/>
      <w:kern w:val="2"/>
      <w:sz w:val="21"/>
      <w:szCs w:val="22"/>
    </w:rPr>
  </w:style>
  <w:style w:type="character" w:customStyle="1" w:styleId="30">
    <w:name w:val="标题 1 字符"/>
    <w:basedOn w:val="20"/>
    <w:link w:val="5"/>
    <w:autoRedefine/>
    <w:qFormat/>
    <w:uiPriority w:val="9"/>
    <w:rPr>
      <w:rFonts w:asciiTheme="minorHAnsi" w:hAnsiTheme="minorHAnsi" w:eastAsiaTheme="minorEastAsia" w:cstheme="minorBidi"/>
      <w:b/>
      <w:bCs/>
      <w:kern w:val="44"/>
      <w:sz w:val="44"/>
      <w:szCs w:val="44"/>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TOC 标题1"/>
    <w:basedOn w:val="5"/>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3">
    <w:name w:val="标题 2 字符"/>
    <w:basedOn w:val="20"/>
    <w:link w:val="6"/>
    <w:autoRedefine/>
    <w:qFormat/>
    <w:uiPriority w:val="9"/>
    <w:rPr>
      <w:rFonts w:asciiTheme="majorHAnsi" w:hAnsiTheme="majorHAnsi" w:eastAsiaTheme="majorEastAsia" w:cstheme="majorBidi"/>
      <w:b/>
      <w:bCs/>
      <w:kern w:val="2"/>
      <w:sz w:val="32"/>
      <w:szCs w:val="32"/>
    </w:rPr>
  </w:style>
  <w:style w:type="paragraph" w:customStyle="1" w:styleId="3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5"/>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页眉 字符"/>
    <w:basedOn w:val="20"/>
    <w:link w:val="13"/>
    <w:autoRedefine/>
    <w:qFormat/>
    <w:uiPriority w:val="99"/>
    <w:rPr>
      <w:rFonts w:asciiTheme="minorHAnsi" w:hAnsiTheme="minorHAnsi" w:eastAsiaTheme="minorEastAsia" w:cstheme="minorBidi"/>
      <w:kern w:val="2"/>
      <w:sz w:val="18"/>
      <w:szCs w:val="18"/>
    </w:rPr>
  </w:style>
  <w:style w:type="character" w:customStyle="1" w:styleId="40">
    <w:name w:val="页脚 字符"/>
    <w:basedOn w:val="20"/>
    <w:link w:val="12"/>
    <w:autoRedefine/>
    <w:qFormat/>
    <w:uiPriority w:val="99"/>
    <w:rPr>
      <w:rFonts w:asciiTheme="minorHAnsi" w:hAnsiTheme="minorHAnsi" w:eastAsiaTheme="minorEastAsia" w:cstheme="minorBidi"/>
      <w:kern w:val="2"/>
      <w:sz w:val="18"/>
      <w:szCs w:val="18"/>
    </w:rPr>
  </w:style>
  <w:style w:type="paragraph" w:customStyle="1" w:styleId="41">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2">
    <w:name w:val="content-right_8zs40"/>
    <w:basedOn w:val="20"/>
    <w:qFormat/>
    <w:uiPriority w:val="0"/>
  </w:style>
  <w:style w:type="paragraph" w:customStyle="1" w:styleId="43">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批注框文本 字符"/>
    <w:basedOn w:val="20"/>
    <w:link w:val="11"/>
    <w:semiHidden/>
    <w:qFormat/>
    <w:uiPriority w:val="99"/>
    <w:rPr>
      <w:rFonts w:asciiTheme="minorHAnsi" w:hAnsiTheme="minorHAnsi" w:eastAsiaTheme="minorEastAsia" w:cstheme="minorBidi"/>
      <w:kern w:val="2"/>
      <w:sz w:val="18"/>
      <w:szCs w:val="18"/>
    </w:rPr>
  </w:style>
  <w:style w:type="paragraph" w:customStyle="1" w:styleId="46">
    <w:name w:val="修订10"/>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7">
    <w:name w:val="标题 4 字符"/>
    <w:basedOn w:val="20"/>
    <w:link w:val="8"/>
    <w:qFormat/>
    <w:uiPriority w:val="9"/>
    <w:rPr>
      <w:rFonts w:asciiTheme="majorHAnsi" w:hAnsiTheme="majorHAnsi" w:eastAsiaTheme="majorEastAsia" w:cstheme="majorBidi"/>
      <w:b/>
      <w:bCs/>
      <w:kern w:val="2"/>
      <w:sz w:val="28"/>
      <w:szCs w:val="28"/>
    </w:rPr>
  </w:style>
  <w:style w:type="paragraph" w:customStyle="1" w:styleId="48">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附录标识"/>
    <w:basedOn w:val="1"/>
    <w:next w:val="1"/>
    <w:autoRedefine/>
    <w:qFormat/>
    <w:uiPriority w:val="0"/>
    <w:pPr>
      <w:keepNext/>
      <w:widowControl/>
      <w:numPr>
        <w:ilvl w:val="0"/>
        <w:numId w:val="1"/>
      </w:numPr>
      <w:shd w:val="clear" w:color="FFFFFF" w:fill="FFFFFF"/>
      <w:spacing w:before="640" w:after="280"/>
      <w:jc w:val="center"/>
      <w:outlineLvl w:val="0"/>
    </w:pPr>
    <w:rPr>
      <w:rFonts w:ascii="黑体" w:eastAsia="黑体"/>
      <w:kern w:val="0"/>
      <w:szCs w:val="20"/>
    </w:rPr>
  </w:style>
  <w:style w:type="paragraph" w:customStyle="1" w:styleId="50">
    <w:name w:val="Table Paragraph"/>
    <w:basedOn w:val="1"/>
    <w:qFormat/>
    <w:uiPriority w:val="1"/>
    <w:pPr>
      <w:spacing w:line="240" w:lineRule="auto"/>
      <w:ind w:firstLine="420"/>
      <w:jc w:val="center"/>
    </w:pPr>
    <w:rPr>
      <w:rFonts w:ascii="Calibri" w:hAnsi="Calibri" w:eastAsia="宋体" w:cs="宋体"/>
      <w:sz w:val="21"/>
      <w:szCs w:val="24"/>
    </w:rPr>
  </w:style>
  <w:style w:type="table" w:customStyle="1" w:styleId="51">
    <w:name w:val="Table Normal"/>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3AAA5-11FB-4F37-B19B-4F336EDA22AD}">
  <ds:schemaRefs/>
</ds:datastoreItem>
</file>

<file path=docProps/app.xml><?xml version="1.0" encoding="utf-8"?>
<Properties xmlns="http://schemas.openxmlformats.org/officeDocument/2006/extended-properties" xmlns:vt="http://schemas.openxmlformats.org/officeDocument/2006/docPropsVTypes">
  <Template>Normal</Template>
  <Pages>26</Pages>
  <Words>12636</Words>
  <Characters>15719</Characters>
  <Lines>57</Lines>
  <Paragraphs>16</Paragraphs>
  <TotalTime>256</TotalTime>
  <ScaleCrop>false</ScaleCrop>
  <LinksUpToDate>false</LinksUpToDate>
  <CharactersWithSpaces>16522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2024-06-05T01:53:00Z</dcterms:created>
  <dc:creator>chen bing</dc:creator>
  <cp:lastModifiedBy>木</cp:lastModifiedBy>
  <cp:lastPrinted>2024-04-28T03:56:00Z</cp:lastPrinted>
  <dcterms:modified xsi:type="dcterms:W3CDTF">2024-11-18T09:03:08Z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CB896E1F32524EC7AF495A833BD118CB_13</vt:lpwstr>
  </property>
</Properties>
</file>