
<file path=[Content_Types].xml><?xml version="1.0" encoding="utf-8"?>
<Types xmlns="http://schemas.openxmlformats.org/package/2006/content-types">
  <Default Extension="xml" ContentType="application/xml"/>
  <Default Extension="tiff" ContentType="image/tif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4CCD3D">
      <w:pPr>
        <w:tabs>
          <w:tab w:val="left" w:pos="6660"/>
        </w:tabs>
        <w:spacing w:line="360" w:lineRule="auto"/>
        <w:rPr>
          <w:rFonts w:eastAsia="黑体"/>
          <w:color w:val="000000"/>
          <w:sz w:val="32"/>
        </w:rPr>
      </w:pPr>
      <w:r>
        <w:rPr>
          <w:rFonts w:eastAsia="黑体"/>
          <w:color w:val="000000"/>
          <w:sz w:val="32"/>
        </w:rPr>
        <w:t>UDC</w:t>
      </w:r>
    </w:p>
    <w:p w14:paraId="436A89F5">
      <w:pPr>
        <w:spacing w:before="156" w:beforeLines="50"/>
        <w:jc w:val="center"/>
        <w:rPr>
          <w:rFonts w:ascii="宋体" w:hAnsi="宋体"/>
          <w:color w:val="000000"/>
          <w:sz w:val="48"/>
        </w:rPr>
      </w:pPr>
      <w:r>
        <w:rPr>
          <w:rFonts w:hint="eastAsia" w:ascii="宋体" w:hAnsi="宋体"/>
          <w:color w:val="000000"/>
          <w:sz w:val="36"/>
        </w:rPr>
        <w:t>中国土木工程学会</w:t>
      </w:r>
      <w:r>
        <w:rPr>
          <w:rFonts w:ascii="宋体" w:hAnsi="宋体"/>
          <w:color w:val="000000"/>
          <w:sz w:val="36"/>
        </w:rPr>
        <w:t>标准</w:t>
      </w:r>
    </w:p>
    <w:p w14:paraId="693B4BF3">
      <w:pPr>
        <w:spacing w:line="360" w:lineRule="auto"/>
        <w:rPr>
          <w:color w:val="000000"/>
        </w:rPr>
      </w:pPr>
    </w:p>
    <w:p w14:paraId="22DDA237">
      <w:pPr>
        <w:pStyle w:val="170"/>
        <w:rPr>
          <w:rFonts w:eastAsia="黑体"/>
          <w:sz w:val="36"/>
        </w:rPr>
      </w:pPr>
      <w:r>
        <w:t xml:space="preserve">  </w:t>
      </w:r>
    </w:p>
    <w:p w14:paraId="2BA4D1E7">
      <w:pPr>
        <w:spacing w:line="360" w:lineRule="auto"/>
        <w:rPr>
          <w:rFonts w:eastAsia="黑体"/>
          <w:color w:val="000000"/>
          <w:sz w:val="30"/>
        </w:rPr>
      </w:pPr>
    </w:p>
    <w:p w14:paraId="0C47DEA2">
      <w:pPr>
        <w:spacing w:line="360" w:lineRule="auto"/>
        <w:rPr>
          <w:color w:val="000000"/>
          <w:sz w:val="32"/>
        </w:rPr>
      </w:pPr>
      <w:r>
        <w:rPr>
          <w:color w:val="000000"/>
          <w:sz w:val="32"/>
        </w:rPr>
        <w:t xml:space="preserve">P                                  </w:t>
      </w:r>
      <w:r>
        <w:rPr>
          <w:rFonts w:hint="eastAsia"/>
          <w:color w:val="000000"/>
          <w:sz w:val="32"/>
        </w:rPr>
        <w:t xml:space="preserve">  </w:t>
      </w:r>
      <w:r>
        <w:rPr>
          <w:color w:val="000000"/>
          <w:sz w:val="32"/>
        </w:rPr>
        <w:t xml:space="preserve"> </w:t>
      </w:r>
      <w:r>
        <w:rPr>
          <w:rFonts w:hint="eastAsia"/>
          <w:color w:val="000000"/>
          <w:sz w:val="32"/>
        </w:rPr>
        <w:t xml:space="preserve">  </w:t>
      </w:r>
      <w:r>
        <w:rPr>
          <w:rFonts w:hint="eastAsia"/>
          <w:color w:val="000000"/>
          <w:sz w:val="30"/>
        </w:rPr>
        <w:t xml:space="preserve">T/CCES </w:t>
      </w:r>
      <w:r>
        <w:rPr>
          <w:color w:val="000000"/>
          <w:sz w:val="30"/>
        </w:rPr>
        <w:t>X</w:t>
      </w:r>
      <w:r>
        <w:rPr>
          <w:rFonts w:hint="eastAsia"/>
          <w:color w:val="000000"/>
          <w:sz w:val="30"/>
        </w:rPr>
        <w:t>－20</w:t>
      </w:r>
      <w:r>
        <w:rPr>
          <w:color w:val="000000"/>
          <w:sz w:val="30"/>
        </w:rPr>
        <w:t>XX</w:t>
      </w:r>
    </w:p>
    <w:p w14:paraId="65603F55">
      <w:pPr>
        <w:spacing w:line="360" w:lineRule="auto"/>
        <w:ind w:left="-735"/>
        <w:rPr>
          <w:color w:val="000000"/>
        </w:rPr>
      </w:pPr>
      <w:r>
        <w:rPr>
          <w:color w:val="000000"/>
          <w:sz w:val="20"/>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99060</wp:posOffset>
                </wp:positionV>
                <wp:extent cx="5943600" cy="0"/>
                <wp:effectExtent l="9525" t="14605" r="9525" b="13970"/>
                <wp:wrapNone/>
                <wp:docPr id="754003406" name="Line 32"/>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ln>
                      </wps:spPr>
                      <wps:bodyPr/>
                    </wps:wsp>
                  </a:graphicData>
                </a:graphic>
              </wp:anchor>
            </w:drawing>
          </mc:Choice>
          <mc:Fallback>
            <w:pict>
              <v:line id="Line 32" o:spid="_x0000_s1026" o:spt="20" style="position:absolute;left:0pt;margin-left:-18pt;margin-top:7.8pt;height:0pt;width:468pt;z-index:251659264;mso-width-relative:page;mso-height-relative:page;" filled="f" stroked="t" coordsize="21600,21600" o:gfxdata="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foGtUAAAAJAQAADwAAAAAAAAABACAAAAAiAAAA&#10;ZHJzL2Rvd25yZXYueG1sUEsBAhQAFAAAAAgAh07iQBFvcl3RAQAAqQMAAA4AAAAAAAAAAQAgAAAA&#10;JAEAAGRycy9lMm9Eb2MueG1sUEsFBgAAAAAGAAYAWQEAAGcFAAAAAA==&#10;">
                <v:fill on="f" focussize="0,0"/>
                <v:stroke weight="1.5pt" color="#000000" joinstyle="round"/>
                <v:imagedata o:title=""/>
                <o:lock v:ext="edit" aspectratio="f"/>
              </v:line>
            </w:pict>
          </mc:Fallback>
        </mc:AlternateContent>
      </w:r>
    </w:p>
    <w:p w14:paraId="386A8E66">
      <w:pPr>
        <w:autoSpaceDE w:val="0"/>
        <w:autoSpaceDN w:val="0"/>
        <w:spacing w:line="360" w:lineRule="auto"/>
        <w:ind w:right="65"/>
        <w:jc w:val="center"/>
        <w:textAlignment w:val="bottom"/>
        <w:rPr>
          <w:rFonts w:eastAsia="黑体"/>
          <w:color w:val="000000"/>
          <w:sz w:val="36"/>
        </w:rPr>
      </w:pPr>
    </w:p>
    <w:p w14:paraId="6AE5B5D2">
      <w:pPr>
        <w:spacing w:before="156" w:beforeLines="50"/>
        <w:jc w:val="center"/>
        <w:rPr>
          <w:rFonts w:eastAsia="黑体"/>
          <w:color w:val="000000"/>
          <w:sz w:val="48"/>
          <w:szCs w:val="48"/>
        </w:rPr>
      </w:pPr>
      <w:r>
        <w:rPr>
          <w:rFonts w:hint="eastAsia" w:eastAsia="黑体"/>
          <w:color w:val="000000"/>
          <w:sz w:val="48"/>
          <w:szCs w:val="48"/>
        </w:rPr>
        <w:t>水上构筑物防船撞监测技术标准</w:t>
      </w:r>
    </w:p>
    <w:p w14:paraId="097D202B">
      <w:pPr>
        <w:jc w:val="center"/>
        <w:rPr>
          <w:color w:val="000000"/>
          <w:sz w:val="30"/>
        </w:rPr>
      </w:pPr>
      <w:r>
        <w:rPr>
          <w:color w:val="000000"/>
          <w:sz w:val="30"/>
        </w:rPr>
        <w:t>Technical Standard for Aquatic Structure Anti-Collision Monitoring</w:t>
      </w:r>
    </w:p>
    <w:p w14:paraId="2047D43C">
      <w:pPr>
        <w:spacing w:line="360" w:lineRule="auto"/>
        <w:ind w:firstLine="3300" w:firstLineChars="1100"/>
        <w:rPr>
          <w:rFonts w:eastAsia="黑体"/>
          <w:color w:val="000000"/>
          <w:sz w:val="30"/>
        </w:rPr>
      </w:pPr>
      <w:r>
        <w:rPr>
          <w:rFonts w:hint="eastAsia" w:eastAsia="黑体"/>
          <w:color w:val="000000"/>
          <w:sz w:val="30"/>
        </w:rPr>
        <w:t>（征求意见稿）</w:t>
      </w:r>
    </w:p>
    <w:p w14:paraId="7EA5C7A0">
      <w:pPr>
        <w:spacing w:line="360" w:lineRule="auto"/>
        <w:rPr>
          <w:rFonts w:eastAsia="黑体"/>
          <w:color w:val="000000"/>
          <w:sz w:val="30"/>
        </w:rPr>
      </w:pPr>
    </w:p>
    <w:p w14:paraId="38E8506B">
      <w:pPr>
        <w:spacing w:line="360" w:lineRule="auto"/>
        <w:rPr>
          <w:rFonts w:eastAsia="黑体"/>
          <w:color w:val="000000"/>
          <w:sz w:val="30"/>
        </w:rPr>
      </w:pPr>
    </w:p>
    <w:p w14:paraId="4361E61F">
      <w:pPr>
        <w:spacing w:line="360" w:lineRule="auto"/>
        <w:rPr>
          <w:rFonts w:eastAsia="黑体"/>
          <w:color w:val="000000"/>
          <w:sz w:val="30"/>
        </w:rPr>
      </w:pPr>
    </w:p>
    <w:p w14:paraId="1DC61785">
      <w:pPr>
        <w:spacing w:line="360" w:lineRule="auto"/>
        <w:rPr>
          <w:rFonts w:eastAsia="黑体"/>
          <w:color w:val="000000"/>
          <w:sz w:val="30"/>
        </w:rPr>
      </w:pPr>
    </w:p>
    <w:p w14:paraId="5380FE24">
      <w:pPr>
        <w:spacing w:line="360" w:lineRule="auto"/>
        <w:rPr>
          <w:rFonts w:ascii="Arial" w:hAnsi="Arial" w:cs="Arial"/>
          <w:color w:val="333333"/>
          <w:sz w:val="24"/>
          <w:shd w:val="clear" w:color="auto" w:fill="FFFFFF"/>
        </w:rPr>
      </w:pPr>
    </w:p>
    <w:p w14:paraId="16A28718">
      <w:pPr>
        <w:spacing w:line="360" w:lineRule="auto"/>
        <w:rPr>
          <w:rFonts w:ascii="Arial" w:hAnsi="Arial" w:cs="Arial"/>
          <w:color w:val="333333"/>
          <w:sz w:val="24"/>
          <w:shd w:val="clear" w:color="auto" w:fill="FFFFFF"/>
        </w:rPr>
      </w:pPr>
    </w:p>
    <w:p w14:paraId="7425594A">
      <w:pPr>
        <w:spacing w:line="360" w:lineRule="auto"/>
        <w:rPr>
          <w:rFonts w:eastAsia="黑体"/>
          <w:color w:val="000000"/>
          <w:sz w:val="30"/>
        </w:rPr>
      </w:pPr>
    </w:p>
    <w:p w14:paraId="57DF6737">
      <w:pPr>
        <w:spacing w:line="360" w:lineRule="auto"/>
        <w:rPr>
          <w:rFonts w:eastAsia="黑体"/>
          <w:color w:val="000000"/>
          <w:sz w:val="30"/>
        </w:rPr>
      </w:pPr>
    </w:p>
    <w:p w14:paraId="0CEA2D8D">
      <w:pPr>
        <w:spacing w:line="360" w:lineRule="auto"/>
        <w:rPr>
          <w:rFonts w:eastAsia="黑体"/>
          <w:color w:val="000000"/>
          <w:sz w:val="30"/>
        </w:rPr>
      </w:pPr>
    </w:p>
    <w:p w14:paraId="30878239">
      <w:pPr>
        <w:spacing w:line="360" w:lineRule="auto"/>
        <w:rPr>
          <w:rFonts w:eastAsia="黑体"/>
          <w:color w:val="000000"/>
          <w:sz w:val="30"/>
        </w:rPr>
      </w:pPr>
      <w:r>
        <w:rPr>
          <w:rFonts w:eastAsia="黑体"/>
          <w:color w:val="000000"/>
          <w:sz w:val="30"/>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326390</wp:posOffset>
                </wp:positionV>
                <wp:extent cx="5724525" cy="0"/>
                <wp:effectExtent l="9525" t="13335" r="9525" b="15240"/>
                <wp:wrapNone/>
                <wp:docPr id="2097399297" name="Line 45"/>
                <wp:cNvGraphicFramePr/>
                <a:graphic xmlns:a="http://schemas.openxmlformats.org/drawingml/2006/main">
                  <a:graphicData uri="http://schemas.microsoft.com/office/word/2010/wordprocessingShape">
                    <wps:wsp>
                      <wps:cNvCnPr>
                        <a:cxnSpLocks noChangeShapeType="1"/>
                      </wps:cNvCnPr>
                      <wps:spPr bwMode="auto">
                        <a:xfrm>
                          <a:off x="0" y="0"/>
                          <a:ext cx="5724525" cy="0"/>
                        </a:xfrm>
                        <a:prstGeom prst="line">
                          <a:avLst/>
                        </a:prstGeom>
                        <a:noFill/>
                        <a:ln w="19050">
                          <a:solidFill>
                            <a:srgbClr val="000000"/>
                          </a:solidFill>
                          <a:round/>
                        </a:ln>
                      </wps:spPr>
                      <wps:bodyPr/>
                    </wps:wsp>
                  </a:graphicData>
                </a:graphic>
              </wp:anchor>
            </w:drawing>
          </mc:Choice>
          <mc:Fallback>
            <w:pict>
              <v:line id="Line 45" o:spid="_x0000_s1026" o:spt="20" style="position:absolute;left:0pt;margin-left:-0.75pt;margin-top:25.7pt;height:0pt;width:450.75pt;z-index:251660288;mso-width-relative:page;mso-height-relative:page;" filled="f" stroked="t" coordsize="21600,21600" o:gfxdata="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nnB+1QAAAAgBAAAPAAAAAAAAAAEAIAAAACIA&#10;AABkcnMvZG93bnJldi54bWxQSwECFAAUAAAACACHTuJAif7A6tMBAACqAwAADgAAAAAAAAABACAA&#10;AAAkAQAAZHJzL2Uyb0RvYy54bWxQSwUGAAAAAAYABgBZAQAAaQUAAAAA&#10;">
                <v:fill on="f" focussize="0,0"/>
                <v:stroke weight="1.5pt" color="#000000" joinstyle="round"/>
                <v:imagedata o:title=""/>
                <o:lock v:ext="edit" aspectratio="f"/>
              </v:line>
            </w:pict>
          </mc:Fallback>
        </mc:AlternateContent>
      </w:r>
      <w:r>
        <w:rPr>
          <w:rFonts w:hint="eastAsia" w:eastAsia="黑体"/>
          <w:color w:val="000000"/>
          <w:sz w:val="30"/>
        </w:rPr>
        <w:t>20</w:t>
      </w:r>
      <w:r>
        <w:rPr>
          <w:rFonts w:eastAsia="黑体"/>
          <w:color w:val="000000"/>
          <w:sz w:val="30"/>
        </w:rPr>
        <w:t>XX–XX–XX</w:t>
      </w:r>
      <w:r>
        <w:rPr>
          <w:rFonts w:hint="eastAsia" w:eastAsia="黑体"/>
          <w:color w:val="000000"/>
          <w:sz w:val="30"/>
        </w:rPr>
        <w:t xml:space="preserve"> 发布</w:t>
      </w:r>
      <w:r>
        <w:rPr>
          <w:rFonts w:hint="eastAsia" w:eastAsia="黑体"/>
          <w:color w:val="000000"/>
          <w:sz w:val="30"/>
        </w:rPr>
        <w:tab/>
      </w:r>
      <w:r>
        <w:rPr>
          <w:rFonts w:hint="eastAsia" w:eastAsia="黑体"/>
          <w:color w:val="000000"/>
          <w:sz w:val="30"/>
        </w:rPr>
        <w:tab/>
      </w:r>
      <w:r>
        <w:rPr>
          <w:rFonts w:hint="eastAsia" w:eastAsia="黑体"/>
          <w:color w:val="000000"/>
          <w:sz w:val="30"/>
        </w:rPr>
        <w:tab/>
      </w:r>
      <w:r>
        <w:rPr>
          <w:rFonts w:hint="eastAsia" w:eastAsia="黑体"/>
          <w:color w:val="000000"/>
          <w:sz w:val="30"/>
        </w:rPr>
        <w:tab/>
      </w:r>
      <w:r>
        <w:rPr>
          <w:rFonts w:hint="eastAsia" w:eastAsia="黑体"/>
          <w:color w:val="000000"/>
          <w:sz w:val="30"/>
        </w:rPr>
        <w:tab/>
      </w:r>
      <w:r>
        <w:rPr>
          <w:rFonts w:hint="eastAsia" w:eastAsia="黑体"/>
          <w:color w:val="000000"/>
          <w:sz w:val="30"/>
        </w:rPr>
        <w:tab/>
      </w:r>
      <w:r>
        <w:rPr>
          <w:rFonts w:hint="eastAsia" w:eastAsia="黑体"/>
          <w:color w:val="000000"/>
          <w:sz w:val="30"/>
        </w:rPr>
        <w:tab/>
      </w:r>
      <w:r>
        <w:rPr>
          <w:rFonts w:hint="eastAsia" w:eastAsia="黑体"/>
          <w:color w:val="000000"/>
          <w:sz w:val="30"/>
        </w:rPr>
        <w:tab/>
      </w:r>
      <w:r>
        <w:rPr>
          <w:rFonts w:hint="eastAsia" w:eastAsia="黑体"/>
          <w:color w:val="000000"/>
          <w:sz w:val="30"/>
        </w:rPr>
        <w:t xml:space="preserve"> </w:t>
      </w:r>
      <w:r>
        <w:rPr>
          <w:rFonts w:eastAsia="黑体"/>
          <w:color w:val="000000"/>
          <w:sz w:val="30"/>
        </w:rPr>
        <w:t xml:space="preserve">  </w:t>
      </w:r>
      <w:r>
        <w:rPr>
          <w:rFonts w:hint="eastAsia" w:eastAsia="黑体"/>
          <w:color w:val="000000"/>
          <w:sz w:val="30"/>
        </w:rPr>
        <w:t>20</w:t>
      </w:r>
      <w:r>
        <w:rPr>
          <w:rFonts w:eastAsia="黑体"/>
          <w:color w:val="000000"/>
          <w:sz w:val="30"/>
        </w:rPr>
        <w:t>XX–XX–XX</w:t>
      </w:r>
      <w:r>
        <w:rPr>
          <w:rFonts w:hint="eastAsia" w:eastAsia="黑体"/>
          <w:color w:val="000000"/>
          <w:sz w:val="30"/>
        </w:rPr>
        <w:t xml:space="preserve"> 实施</w:t>
      </w:r>
    </w:p>
    <w:p w14:paraId="599B84FF">
      <w:pPr>
        <w:spacing w:line="360" w:lineRule="auto"/>
        <w:jc w:val="center"/>
        <w:rPr>
          <w:rFonts w:eastAsia="黑体"/>
          <w:color w:val="000000"/>
          <w:sz w:val="30"/>
        </w:rPr>
      </w:pPr>
      <w:r>
        <w:rPr>
          <w:rFonts w:hint="eastAsia" w:eastAsia="黑体"/>
          <w:color w:val="000000"/>
          <w:sz w:val="30"/>
        </w:rPr>
        <w:t>中国土木工程学会    发布</w:t>
      </w:r>
    </w:p>
    <w:p w14:paraId="3E49FEA2">
      <w:pPr>
        <w:rPr>
          <w:color w:val="000000"/>
        </w:rPr>
        <w:sectPr>
          <w:footerReference r:id="rId5" w:type="first"/>
          <w:headerReference r:id="rId3" w:type="default"/>
          <w:footerReference r:id="rId4" w:type="even"/>
          <w:type w:val="continuous"/>
          <w:pgSz w:w="11907" w:h="16840"/>
          <w:pgMar w:top="1418" w:right="1440" w:bottom="1418" w:left="1440" w:header="851" w:footer="992" w:gutter="0"/>
          <w:cols w:space="425" w:num="1"/>
          <w:docGrid w:type="lines" w:linePitch="312" w:charSpace="0"/>
        </w:sectPr>
      </w:pPr>
      <w:r>
        <w:rPr>
          <w:rFonts w:hint="eastAsia"/>
          <w:color w:val="000000"/>
        </w:rPr>
        <w:t xml:space="preserve"> </w:t>
      </w:r>
    </w:p>
    <w:p w14:paraId="37BA5815">
      <w:pPr>
        <w:jc w:val="center"/>
        <w:rPr>
          <w:rFonts w:eastAsia="黑体"/>
          <w:b/>
          <w:color w:val="000000"/>
          <w:sz w:val="32"/>
          <w:szCs w:val="32"/>
        </w:rPr>
      </w:pPr>
    </w:p>
    <w:p w14:paraId="02D1DF32">
      <w:pPr>
        <w:jc w:val="center"/>
        <w:rPr>
          <w:rFonts w:ascii="宋体" w:hAnsi="宋体"/>
          <w:b/>
          <w:color w:val="000000"/>
          <w:sz w:val="32"/>
          <w:szCs w:val="32"/>
        </w:rPr>
      </w:pPr>
      <w:r>
        <w:rPr>
          <w:rFonts w:hint="eastAsia" w:ascii="宋体" w:hAnsi="宋体"/>
          <w:b/>
          <w:color w:val="000000"/>
          <w:sz w:val="32"/>
          <w:szCs w:val="32"/>
        </w:rPr>
        <w:t>中国土木工程学会标准</w:t>
      </w:r>
    </w:p>
    <w:p w14:paraId="486C322B">
      <w:pPr>
        <w:jc w:val="center"/>
        <w:rPr>
          <w:rFonts w:eastAsia="黑体"/>
          <w:b/>
          <w:color w:val="000000"/>
          <w:sz w:val="32"/>
          <w:szCs w:val="32"/>
        </w:rPr>
      </w:pPr>
    </w:p>
    <w:p w14:paraId="79CD6D84">
      <w:pPr>
        <w:jc w:val="center"/>
        <w:rPr>
          <w:rFonts w:eastAsia="黑体"/>
          <w:b/>
          <w:color w:val="000000"/>
          <w:sz w:val="32"/>
          <w:szCs w:val="32"/>
        </w:rPr>
      </w:pPr>
    </w:p>
    <w:p w14:paraId="58EF6640">
      <w:pPr>
        <w:jc w:val="center"/>
        <w:rPr>
          <w:rFonts w:eastAsia="黑体"/>
          <w:b/>
          <w:color w:val="000000"/>
          <w:sz w:val="32"/>
          <w:szCs w:val="32"/>
        </w:rPr>
      </w:pPr>
    </w:p>
    <w:p w14:paraId="7332847B">
      <w:pPr>
        <w:spacing w:before="156" w:beforeLines="50"/>
        <w:jc w:val="center"/>
        <w:rPr>
          <w:rFonts w:eastAsia="黑体"/>
          <w:color w:val="000000"/>
          <w:sz w:val="48"/>
          <w:szCs w:val="48"/>
        </w:rPr>
      </w:pPr>
      <w:r>
        <w:rPr>
          <w:rFonts w:hint="eastAsia" w:eastAsia="黑体"/>
          <w:color w:val="000000"/>
          <w:sz w:val="48"/>
          <w:szCs w:val="48"/>
        </w:rPr>
        <w:t>水上构筑物防船撞监测技术标准</w:t>
      </w:r>
    </w:p>
    <w:p w14:paraId="74115DB7">
      <w:pPr>
        <w:jc w:val="center"/>
        <w:rPr>
          <w:color w:val="000000"/>
          <w:sz w:val="30"/>
        </w:rPr>
      </w:pPr>
      <w:r>
        <w:rPr>
          <w:color w:val="000000"/>
          <w:sz w:val="30"/>
        </w:rPr>
        <w:t>Technical Standard for Aquatic Structure Anti-Collision Monitoring</w:t>
      </w:r>
    </w:p>
    <w:p w14:paraId="59451935">
      <w:pPr>
        <w:rPr>
          <w:rFonts w:eastAsia="黑体"/>
          <w:b/>
          <w:color w:val="000000"/>
          <w:sz w:val="28"/>
          <w:szCs w:val="28"/>
        </w:rPr>
      </w:pPr>
    </w:p>
    <w:p w14:paraId="4AE4FD77">
      <w:pPr>
        <w:jc w:val="center"/>
        <w:rPr>
          <w:rFonts w:eastAsia="黑体"/>
          <w:b/>
          <w:color w:val="000000"/>
          <w:sz w:val="28"/>
          <w:szCs w:val="28"/>
        </w:rPr>
      </w:pPr>
    </w:p>
    <w:p w14:paraId="4DDC97B2">
      <w:pPr>
        <w:jc w:val="center"/>
        <w:rPr>
          <w:rFonts w:eastAsia="黑体"/>
          <w:b/>
          <w:color w:val="000000"/>
          <w:sz w:val="28"/>
          <w:szCs w:val="28"/>
        </w:rPr>
      </w:pPr>
      <w:r>
        <w:rPr>
          <w:rFonts w:hint="eastAsia" w:eastAsia="黑体"/>
          <w:b/>
          <w:color w:val="000000"/>
          <w:sz w:val="28"/>
          <w:szCs w:val="28"/>
        </w:rPr>
        <w:t xml:space="preserve">T/CCES </w:t>
      </w:r>
      <w:r>
        <w:rPr>
          <w:rFonts w:eastAsia="黑体"/>
          <w:b/>
          <w:color w:val="000000"/>
          <w:sz w:val="28"/>
          <w:szCs w:val="28"/>
        </w:rPr>
        <w:t>X</w:t>
      </w:r>
      <w:r>
        <w:rPr>
          <w:rFonts w:hint="eastAsia" w:eastAsia="黑体"/>
          <w:b/>
          <w:color w:val="000000"/>
          <w:sz w:val="28"/>
          <w:szCs w:val="28"/>
        </w:rPr>
        <w:t>－20</w:t>
      </w:r>
      <w:r>
        <w:rPr>
          <w:rFonts w:eastAsia="黑体"/>
          <w:b/>
          <w:color w:val="000000"/>
          <w:sz w:val="28"/>
          <w:szCs w:val="28"/>
        </w:rPr>
        <w:t>XX</w:t>
      </w:r>
    </w:p>
    <w:p w14:paraId="22B45CDC">
      <w:pPr>
        <w:ind w:firstLine="3233" w:firstLineChars="1150"/>
        <w:rPr>
          <w:rFonts w:eastAsia="黑体"/>
          <w:b/>
          <w:color w:val="000000"/>
          <w:sz w:val="28"/>
          <w:szCs w:val="28"/>
        </w:rPr>
      </w:pPr>
    </w:p>
    <w:p w14:paraId="7C5B2B8D">
      <w:pPr>
        <w:ind w:firstLine="2520" w:firstLineChars="900"/>
        <w:rPr>
          <w:rFonts w:ascii="宋体" w:hAnsi="宋体"/>
          <w:color w:val="000000"/>
          <w:sz w:val="28"/>
          <w:szCs w:val="28"/>
        </w:rPr>
      </w:pPr>
    </w:p>
    <w:p w14:paraId="50A2B2F0">
      <w:pPr>
        <w:ind w:firstLine="2520" w:firstLineChars="900"/>
        <w:rPr>
          <w:rFonts w:ascii="宋体" w:hAnsi="宋体"/>
          <w:color w:val="000000"/>
          <w:sz w:val="28"/>
          <w:szCs w:val="28"/>
        </w:rPr>
      </w:pPr>
      <w:r>
        <w:rPr>
          <w:rFonts w:hint="eastAsia" w:ascii="宋体" w:hAnsi="宋体"/>
          <w:color w:val="000000"/>
          <w:sz w:val="28"/>
          <w:szCs w:val="28"/>
        </w:rPr>
        <w:t>批准单位：中国土木工程学会</w:t>
      </w:r>
    </w:p>
    <w:p w14:paraId="0CB77EA0">
      <w:pPr>
        <w:ind w:firstLine="2520" w:firstLineChars="900"/>
        <w:rPr>
          <w:rFonts w:ascii="宋体" w:hAnsi="宋体"/>
          <w:color w:val="000000"/>
          <w:szCs w:val="21"/>
        </w:rPr>
      </w:pPr>
      <w:r>
        <w:rPr>
          <w:rFonts w:hint="eastAsia" w:ascii="宋体" w:hAnsi="宋体"/>
          <w:color w:val="000000"/>
          <w:sz w:val="28"/>
          <w:szCs w:val="28"/>
        </w:rPr>
        <w:t>施行日期：20</w:t>
      </w:r>
      <w:r>
        <w:rPr>
          <w:rFonts w:ascii="宋体" w:hAnsi="宋体"/>
          <w:color w:val="000000"/>
          <w:sz w:val="28"/>
          <w:szCs w:val="28"/>
        </w:rPr>
        <w:t>XX</w:t>
      </w:r>
      <w:r>
        <w:rPr>
          <w:rFonts w:hint="eastAsia" w:ascii="宋体" w:hAnsi="宋体"/>
          <w:color w:val="000000"/>
          <w:sz w:val="28"/>
          <w:szCs w:val="28"/>
        </w:rPr>
        <w:t>年</w:t>
      </w:r>
      <w:r>
        <w:rPr>
          <w:rFonts w:ascii="宋体" w:hAnsi="宋体"/>
          <w:color w:val="000000"/>
          <w:sz w:val="28"/>
          <w:szCs w:val="28"/>
        </w:rPr>
        <w:t>X</w:t>
      </w:r>
      <w:r>
        <w:rPr>
          <w:rFonts w:hint="eastAsia" w:ascii="宋体" w:hAnsi="宋体"/>
          <w:color w:val="000000"/>
          <w:sz w:val="28"/>
          <w:szCs w:val="28"/>
        </w:rPr>
        <w:t>月</w:t>
      </w:r>
      <w:r>
        <w:rPr>
          <w:rFonts w:ascii="宋体" w:hAnsi="宋体"/>
          <w:color w:val="000000"/>
          <w:sz w:val="28"/>
          <w:szCs w:val="28"/>
        </w:rPr>
        <w:t>X</w:t>
      </w:r>
      <w:r>
        <w:rPr>
          <w:rFonts w:hint="eastAsia" w:ascii="宋体" w:hAnsi="宋体"/>
          <w:color w:val="000000"/>
          <w:sz w:val="28"/>
          <w:szCs w:val="28"/>
        </w:rPr>
        <w:t>日</w:t>
      </w:r>
    </w:p>
    <w:p w14:paraId="76818701">
      <w:pPr>
        <w:rPr>
          <w:rFonts w:eastAsia="黑体"/>
          <w:b/>
          <w:color w:val="000000"/>
          <w:sz w:val="32"/>
          <w:szCs w:val="32"/>
        </w:rPr>
      </w:pPr>
    </w:p>
    <w:p w14:paraId="62252B1F">
      <w:pPr>
        <w:rPr>
          <w:rFonts w:eastAsia="黑体"/>
          <w:b/>
          <w:color w:val="000000"/>
          <w:sz w:val="32"/>
          <w:szCs w:val="32"/>
        </w:rPr>
      </w:pPr>
    </w:p>
    <w:p w14:paraId="46F4248B">
      <w:pPr>
        <w:jc w:val="center"/>
        <w:rPr>
          <w:rFonts w:eastAsia="仿宋_GB2312"/>
          <w:color w:val="000000"/>
          <w:sz w:val="28"/>
          <w:szCs w:val="28"/>
        </w:rPr>
      </w:pPr>
    </w:p>
    <w:p w14:paraId="1F2AD1FF">
      <w:pPr>
        <w:jc w:val="center"/>
        <w:rPr>
          <w:rFonts w:eastAsia="仿宋_GB2312"/>
          <w:color w:val="000000"/>
          <w:sz w:val="28"/>
          <w:szCs w:val="28"/>
        </w:rPr>
      </w:pPr>
    </w:p>
    <w:p w14:paraId="48C6F3E2">
      <w:pPr>
        <w:jc w:val="center"/>
        <w:rPr>
          <w:rFonts w:ascii="黑体" w:hAnsi="黑体" w:eastAsia="黑体"/>
          <w:color w:val="000000"/>
          <w:sz w:val="28"/>
          <w:szCs w:val="28"/>
        </w:rPr>
      </w:pPr>
    </w:p>
    <w:p w14:paraId="1387138D">
      <w:pPr>
        <w:jc w:val="center"/>
        <w:rPr>
          <w:rFonts w:ascii="黑体" w:hAnsi="黑体" w:eastAsia="黑体"/>
          <w:color w:val="000000"/>
          <w:sz w:val="28"/>
          <w:szCs w:val="28"/>
        </w:rPr>
      </w:pPr>
    </w:p>
    <w:p w14:paraId="4005B1A9">
      <w:pPr>
        <w:jc w:val="center"/>
        <w:rPr>
          <w:rFonts w:ascii="黑体" w:hAnsi="黑体" w:eastAsia="黑体"/>
          <w:color w:val="000000"/>
          <w:sz w:val="28"/>
          <w:szCs w:val="28"/>
        </w:rPr>
      </w:pPr>
    </w:p>
    <w:p w14:paraId="357D6508">
      <w:pPr>
        <w:jc w:val="center"/>
        <w:rPr>
          <w:rFonts w:ascii="黑体" w:hAnsi="黑体" w:eastAsia="黑体"/>
          <w:color w:val="000000"/>
          <w:sz w:val="28"/>
          <w:szCs w:val="28"/>
        </w:rPr>
      </w:pPr>
      <w:r>
        <w:rPr>
          <w:rFonts w:ascii="黑体" w:hAnsi="黑体" w:eastAsia="黑体"/>
          <w:color w:val="000000"/>
          <w:sz w:val="28"/>
          <w:szCs w:val="28"/>
        </w:rPr>
        <w:t>20XX  北</w:t>
      </w:r>
      <w:r>
        <w:rPr>
          <w:rFonts w:hint="eastAsia" w:ascii="黑体" w:hAnsi="黑体" w:eastAsia="黑体"/>
          <w:color w:val="000000"/>
          <w:sz w:val="28"/>
          <w:szCs w:val="28"/>
        </w:rPr>
        <w:t xml:space="preserve">  </w:t>
      </w:r>
      <w:r>
        <w:rPr>
          <w:rFonts w:ascii="黑体" w:hAnsi="黑体" w:eastAsia="黑体"/>
          <w:color w:val="000000"/>
          <w:sz w:val="28"/>
          <w:szCs w:val="28"/>
        </w:rPr>
        <w:t>京</w:t>
      </w:r>
    </w:p>
    <w:p w14:paraId="2699A612">
      <w:pPr>
        <w:jc w:val="center"/>
        <w:rPr>
          <w:rFonts w:ascii="黑体" w:hAnsi="黑体" w:eastAsia="黑体"/>
          <w:b/>
          <w:color w:val="000000"/>
          <w:sz w:val="28"/>
          <w:szCs w:val="28"/>
        </w:rPr>
        <w:sectPr>
          <w:footerReference r:id="rId6" w:type="default"/>
          <w:footerReference r:id="rId7" w:type="even"/>
          <w:type w:val="continuous"/>
          <w:pgSz w:w="11906" w:h="16838"/>
          <w:pgMar w:top="1418" w:right="1701" w:bottom="1418" w:left="1701" w:header="851" w:footer="992" w:gutter="0"/>
          <w:pgNumType w:start="1"/>
          <w:cols w:space="425" w:num="1"/>
          <w:docGrid w:type="lines" w:linePitch="312" w:charSpace="0"/>
        </w:sectPr>
      </w:pPr>
    </w:p>
    <w:p w14:paraId="6F84C2EC">
      <w:pPr>
        <w:jc w:val="center"/>
        <w:rPr>
          <w:rFonts w:ascii="黑体" w:hAnsi="黑体" w:eastAsia="黑体"/>
          <w:b/>
          <w:color w:val="000000"/>
          <w:sz w:val="28"/>
          <w:szCs w:val="28"/>
        </w:rPr>
        <w:sectPr>
          <w:pgSz w:w="11906" w:h="16838"/>
          <w:pgMar w:top="1418" w:right="1701" w:bottom="1418" w:left="1701" w:header="851" w:footer="992" w:gutter="0"/>
          <w:pgNumType w:start="1"/>
          <w:cols w:space="425" w:num="1"/>
          <w:docGrid w:type="lines" w:linePitch="312" w:charSpace="0"/>
        </w:sectPr>
      </w:pPr>
    </w:p>
    <w:p w14:paraId="05FA0A4D">
      <w:pPr>
        <w:pStyle w:val="49"/>
        <w:spacing w:before="312" w:after="312" w:line="360" w:lineRule="auto"/>
        <w:jc w:val="center"/>
        <w:rPr>
          <w:rFonts w:ascii="Times New Roman" w:hAnsi="Times New Roman"/>
          <w:bCs/>
          <w:color w:val="000000"/>
          <w:lang w:val="zh-CN"/>
        </w:rPr>
      </w:pPr>
      <w:r>
        <w:rPr>
          <w:rFonts w:ascii="Times New Roman" w:hAnsi="Times New Roman"/>
          <w:bCs/>
          <w:color w:val="000000"/>
          <w:lang w:val="zh-CN"/>
        </w:rPr>
        <w:t>前  言</w:t>
      </w:r>
    </w:p>
    <w:p w14:paraId="6469CD3D">
      <w:pPr>
        <w:spacing w:line="312" w:lineRule="auto"/>
        <w:ind w:firstLine="480" w:firstLineChars="200"/>
        <w:jc w:val="both"/>
        <w:rPr>
          <w:rFonts w:hAnsi="宋体"/>
          <w:color w:val="000000"/>
          <w:sz w:val="24"/>
        </w:rPr>
      </w:pPr>
      <w:r>
        <w:rPr>
          <w:rFonts w:hint="eastAsia" w:hAnsi="宋体"/>
          <w:color w:val="000000"/>
          <w:sz w:val="24"/>
        </w:rPr>
        <w:t>本标准是根据中国土木工程学会《关于发布&lt;2024年中国土木工程学会标准立项计划（第一批）&gt;的通知》（中土学标〔</w:t>
      </w:r>
      <w:r>
        <w:rPr>
          <w:rFonts w:hAnsi="宋体"/>
          <w:color w:val="000000"/>
          <w:sz w:val="24"/>
        </w:rPr>
        <w:t>20</w:t>
      </w:r>
      <w:r>
        <w:rPr>
          <w:rFonts w:hint="eastAsia" w:hAnsi="宋体"/>
          <w:color w:val="000000"/>
          <w:sz w:val="24"/>
        </w:rPr>
        <w:t>24</w:t>
      </w:r>
      <w:r>
        <w:rPr>
          <w:rFonts w:hAnsi="宋体"/>
        </w:rPr>
        <w:t>〕</w:t>
      </w:r>
      <w:r>
        <w:rPr>
          <w:rFonts w:hint="eastAsia" w:hAnsi="宋体"/>
          <w:color w:val="000000"/>
          <w:sz w:val="24"/>
        </w:rPr>
        <w:t>9号）的要求，</w:t>
      </w:r>
      <w:r>
        <w:rPr>
          <w:rFonts w:hAnsi="宋体"/>
          <w:color w:val="000000"/>
          <w:sz w:val="24"/>
        </w:rPr>
        <w:t>由</w:t>
      </w:r>
      <w:r>
        <w:rPr>
          <w:rFonts w:hint="eastAsia" w:hAnsi="宋体"/>
          <w:color w:val="000000"/>
          <w:sz w:val="24"/>
        </w:rPr>
        <w:t>同济大学</w:t>
      </w:r>
      <w:r>
        <w:rPr>
          <w:rFonts w:hint="eastAsia" w:hAnsi="宋体"/>
          <w:color w:val="000000"/>
          <w:sz w:val="24"/>
          <w:lang w:eastAsia="zh-CN"/>
        </w:rPr>
        <w:t>、</w:t>
      </w:r>
      <w:r>
        <w:rPr>
          <w:rFonts w:hint="eastAsia" w:hAnsi="宋体"/>
          <w:color w:val="000000"/>
          <w:sz w:val="24"/>
        </w:rPr>
        <w:t>中铁上海设计院集团有限公司会同有关单位编制完成</w:t>
      </w:r>
      <w:r>
        <w:rPr>
          <w:rFonts w:hAnsi="宋体"/>
          <w:color w:val="000000"/>
          <w:sz w:val="24"/>
        </w:rPr>
        <w:t>。</w:t>
      </w:r>
    </w:p>
    <w:p w14:paraId="49F38FE0">
      <w:pPr>
        <w:spacing w:line="312" w:lineRule="auto"/>
        <w:ind w:firstLine="480" w:firstLineChars="200"/>
        <w:jc w:val="both"/>
        <w:rPr>
          <w:rFonts w:hAnsi="宋体"/>
          <w:color w:val="000000"/>
          <w:sz w:val="24"/>
        </w:rPr>
      </w:pPr>
      <w:r>
        <w:rPr>
          <w:rFonts w:hint="eastAsia" w:hAnsi="宋体"/>
          <w:color w:val="000000"/>
          <w:sz w:val="24"/>
        </w:rPr>
        <w:t>本标准在编制过程中，编制组经广泛调查研究，认真总结实践经验，参考有关国际标准和国内外先进标准，并广泛征求意见</w:t>
      </w:r>
      <w:r>
        <w:rPr>
          <w:rFonts w:hint="eastAsia" w:hAnsi="宋体"/>
          <w:color w:val="000000"/>
          <w:sz w:val="24"/>
          <w:lang w:eastAsia="zh-CN"/>
        </w:rPr>
        <w:t>的</w:t>
      </w:r>
      <w:r>
        <w:rPr>
          <w:rFonts w:hint="eastAsia" w:hAnsi="宋体"/>
          <w:color w:val="000000"/>
          <w:sz w:val="24"/>
        </w:rPr>
        <w:t>基础上，对具体内容进行了反复讨论、协调和修改，最后经审查定稿。</w:t>
      </w:r>
    </w:p>
    <w:p w14:paraId="1FE361BD">
      <w:pPr>
        <w:spacing w:line="312" w:lineRule="auto"/>
        <w:ind w:firstLine="480" w:firstLineChars="200"/>
        <w:jc w:val="both"/>
        <w:rPr>
          <w:rFonts w:hAnsi="宋体"/>
          <w:color w:val="000000"/>
          <w:sz w:val="24"/>
        </w:rPr>
      </w:pPr>
      <w:r>
        <w:rPr>
          <w:rFonts w:hAnsi="宋体"/>
          <w:color w:val="000000"/>
          <w:sz w:val="24"/>
        </w:rPr>
        <w:t>本</w:t>
      </w:r>
      <w:r>
        <w:rPr>
          <w:rFonts w:hint="eastAsia" w:hAnsi="宋体"/>
          <w:color w:val="000000"/>
          <w:sz w:val="24"/>
        </w:rPr>
        <w:t>标准的</w:t>
      </w:r>
      <w:r>
        <w:rPr>
          <w:rFonts w:hAnsi="宋体"/>
          <w:color w:val="000000"/>
          <w:sz w:val="24"/>
        </w:rPr>
        <w:t>主要</w:t>
      </w:r>
      <w:r>
        <w:rPr>
          <w:rFonts w:hint="eastAsia" w:hAnsi="宋体"/>
          <w:color w:val="000000"/>
          <w:sz w:val="24"/>
        </w:rPr>
        <w:t>技术内容是：总则，术语、</w:t>
      </w:r>
      <w:r>
        <w:rPr>
          <w:rFonts w:hint="eastAsia" w:hAnsi="宋体"/>
          <w:color w:val="000000"/>
          <w:sz w:val="24"/>
          <w:lang w:val="en-US" w:eastAsia="zh-CN"/>
        </w:rPr>
        <w:t>缩略语</w:t>
      </w:r>
      <w:r>
        <w:rPr>
          <w:rFonts w:hint="eastAsia" w:hAnsi="宋体"/>
          <w:color w:val="000000"/>
          <w:sz w:val="24"/>
        </w:rPr>
        <w:t>与参考标准，基本规定，防船撞监测，监测数据管理，预警分区与预警方式，监测系统验收，监测应用，监测系统运维</w:t>
      </w:r>
      <w:r>
        <w:rPr>
          <w:rFonts w:hint="eastAsia" w:hAnsi="宋体"/>
          <w:color w:val="000000"/>
          <w:sz w:val="24"/>
          <w:lang w:val="en-US" w:eastAsia="zh-CN"/>
        </w:rPr>
        <w:t>及有关的附录</w:t>
      </w:r>
      <w:r>
        <w:rPr>
          <w:rFonts w:hint="eastAsia" w:hAnsi="宋体"/>
          <w:color w:val="000000"/>
          <w:sz w:val="24"/>
        </w:rPr>
        <w:t>。</w:t>
      </w:r>
    </w:p>
    <w:p w14:paraId="71294F92">
      <w:pPr>
        <w:spacing w:line="312" w:lineRule="auto"/>
        <w:ind w:firstLine="480" w:firstLineChars="200"/>
        <w:jc w:val="both"/>
        <w:rPr>
          <w:rFonts w:hAnsi="宋体"/>
          <w:color w:val="000000"/>
          <w:sz w:val="24"/>
        </w:rPr>
      </w:pPr>
      <w:r>
        <w:rPr>
          <w:rFonts w:hint="eastAsia" w:hAnsi="宋体"/>
          <w:color w:val="000000"/>
          <w:sz w:val="24"/>
        </w:rPr>
        <w:t>请注意本</w:t>
      </w:r>
      <w:r>
        <w:rPr>
          <w:rFonts w:hint="eastAsia" w:hAnsi="宋体"/>
          <w:color w:val="000000"/>
          <w:sz w:val="24"/>
          <w:lang w:val="en-US" w:eastAsia="zh-CN"/>
        </w:rPr>
        <w:t>标准</w:t>
      </w:r>
      <w:r>
        <w:rPr>
          <w:rFonts w:hAnsi="宋体"/>
          <w:color w:val="000000"/>
          <w:sz w:val="24"/>
        </w:rPr>
        <w:t>的某些内容可能涉及专利。本</w:t>
      </w:r>
      <w:r>
        <w:rPr>
          <w:rFonts w:hint="eastAsia" w:hAnsi="宋体"/>
          <w:color w:val="000000"/>
          <w:sz w:val="24"/>
          <w:lang w:val="en-US" w:eastAsia="zh-CN"/>
        </w:rPr>
        <w:t>标准</w:t>
      </w:r>
      <w:r>
        <w:rPr>
          <w:rFonts w:hAnsi="宋体"/>
          <w:color w:val="000000"/>
          <w:sz w:val="24"/>
        </w:rPr>
        <w:t>的发布机构不承担识别</w:t>
      </w:r>
      <w:r>
        <w:rPr>
          <w:rFonts w:hint="eastAsia" w:hAnsi="宋体"/>
          <w:color w:val="000000"/>
          <w:sz w:val="24"/>
        </w:rPr>
        <w:t>这些</w:t>
      </w:r>
      <w:r>
        <w:rPr>
          <w:rFonts w:hAnsi="宋体"/>
          <w:color w:val="000000"/>
          <w:sz w:val="24"/>
        </w:rPr>
        <w:t>专利的责任。</w:t>
      </w:r>
    </w:p>
    <w:p w14:paraId="58DE91EB">
      <w:pPr>
        <w:spacing w:line="312" w:lineRule="auto"/>
        <w:ind w:firstLine="480" w:firstLineChars="200"/>
        <w:jc w:val="both"/>
        <w:rPr>
          <w:rFonts w:hAnsi="宋体"/>
          <w:color w:val="000000"/>
          <w:sz w:val="24"/>
        </w:rPr>
      </w:pPr>
      <w:r>
        <w:rPr>
          <w:rFonts w:hAnsi="宋体"/>
          <w:color w:val="000000"/>
          <w:sz w:val="24"/>
        </w:rPr>
        <w:t>本</w:t>
      </w:r>
      <w:r>
        <w:rPr>
          <w:rFonts w:hint="eastAsia" w:hAnsi="宋体"/>
          <w:color w:val="000000"/>
          <w:sz w:val="24"/>
        </w:rPr>
        <w:t>标准</w:t>
      </w:r>
      <w:r>
        <w:rPr>
          <w:rFonts w:hAnsi="宋体"/>
          <w:color w:val="000000"/>
          <w:sz w:val="24"/>
        </w:rPr>
        <w:t>由中国土木工程学会</w:t>
      </w:r>
      <w:r>
        <w:rPr>
          <w:rFonts w:hint="eastAsia" w:hAnsi="宋体"/>
          <w:color w:val="000000"/>
          <w:sz w:val="24"/>
        </w:rPr>
        <w:t>学术与标准工作委员会</w:t>
      </w:r>
      <w:r>
        <w:rPr>
          <w:rFonts w:hAnsi="宋体"/>
          <w:color w:val="000000"/>
          <w:sz w:val="24"/>
        </w:rPr>
        <w:t>负责管理，</w:t>
      </w:r>
      <w:r>
        <w:rPr>
          <w:rFonts w:hint="eastAsia" w:hAnsi="宋体"/>
          <w:color w:val="000000"/>
          <w:sz w:val="24"/>
        </w:rPr>
        <w:t>由同济大学</w:t>
      </w:r>
      <w:r>
        <w:rPr>
          <w:rFonts w:hAnsi="宋体"/>
          <w:color w:val="000000"/>
          <w:sz w:val="24"/>
        </w:rPr>
        <w:t>负责具体</w:t>
      </w:r>
      <w:r>
        <w:rPr>
          <w:rFonts w:hint="eastAsia" w:hAnsi="宋体"/>
          <w:color w:val="000000"/>
          <w:sz w:val="24"/>
        </w:rPr>
        <w:t>技术</w:t>
      </w:r>
      <w:r>
        <w:rPr>
          <w:rFonts w:hAnsi="宋体"/>
          <w:color w:val="000000"/>
          <w:sz w:val="24"/>
        </w:rPr>
        <w:t>内容的解释。执行过程中</w:t>
      </w:r>
      <w:r>
        <w:rPr>
          <w:rFonts w:hint="eastAsia" w:hAnsi="宋体"/>
          <w:color w:val="000000"/>
          <w:sz w:val="24"/>
        </w:rPr>
        <w:t>如</w:t>
      </w:r>
      <w:r>
        <w:rPr>
          <w:rFonts w:hAnsi="宋体"/>
          <w:color w:val="000000"/>
          <w:sz w:val="24"/>
        </w:rPr>
        <w:t>有</w:t>
      </w:r>
      <w:r>
        <w:rPr>
          <w:rFonts w:hint="eastAsia" w:hAnsi="宋体"/>
          <w:color w:val="000000"/>
          <w:sz w:val="24"/>
        </w:rPr>
        <w:t>修改</w:t>
      </w:r>
      <w:r>
        <w:rPr>
          <w:rFonts w:hAnsi="宋体"/>
          <w:color w:val="000000"/>
          <w:sz w:val="24"/>
        </w:rPr>
        <w:t>意见</w:t>
      </w:r>
      <w:r>
        <w:rPr>
          <w:rFonts w:hint="eastAsia" w:hAnsi="宋体"/>
          <w:color w:val="000000"/>
          <w:sz w:val="24"/>
        </w:rPr>
        <w:t>或建议</w:t>
      </w:r>
      <w:r>
        <w:rPr>
          <w:rFonts w:hAnsi="宋体"/>
          <w:color w:val="000000"/>
          <w:sz w:val="24"/>
        </w:rPr>
        <w:t>，</w:t>
      </w:r>
      <w:r>
        <w:rPr>
          <w:rFonts w:hint="eastAsia" w:hAnsi="宋体"/>
          <w:color w:val="000000"/>
          <w:sz w:val="24"/>
        </w:rPr>
        <w:t>请寄送解释单位（地址：上海市四平路1239号桥梁馆715室；</w:t>
      </w:r>
      <w:r>
        <w:rPr>
          <w:rFonts w:hAnsi="宋体"/>
          <w:color w:val="000000"/>
          <w:sz w:val="24"/>
        </w:rPr>
        <w:t>邮政编码</w:t>
      </w:r>
      <w:r>
        <w:rPr>
          <w:rFonts w:hint="eastAsia" w:hAnsi="宋体"/>
          <w:color w:val="000000"/>
          <w:sz w:val="24"/>
        </w:rPr>
        <w:t>：200092；电子邮箱：</w:t>
      </w:r>
      <w:r>
        <w:rPr>
          <w:rFonts w:hAnsi="宋体"/>
          <w:color w:val="000000"/>
          <w:sz w:val="24"/>
        </w:rPr>
        <w:t>yxia@tongji.edu.cn</w:t>
      </w:r>
      <w:r>
        <w:rPr>
          <w:rFonts w:hint="eastAsia" w:hAnsi="宋体"/>
          <w:color w:val="000000"/>
          <w:sz w:val="24"/>
        </w:rPr>
        <w:t>），供修订时参考</w:t>
      </w:r>
      <w:r>
        <w:rPr>
          <w:rFonts w:hAnsi="宋体"/>
          <w:color w:val="000000"/>
          <w:sz w:val="24"/>
        </w:rPr>
        <w:t>。</w:t>
      </w:r>
      <w:bookmarkStart w:id="196" w:name="_GoBack"/>
      <w:bookmarkEnd w:id="196"/>
    </w:p>
    <w:p w14:paraId="6D90C434">
      <w:pPr>
        <w:spacing w:line="312" w:lineRule="auto"/>
        <w:ind w:firstLine="480" w:firstLineChars="200"/>
        <w:jc w:val="both"/>
        <w:rPr>
          <w:rFonts w:hAnsi="宋体"/>
          <w:color w:val="000000"/>
          <w:sz w:val="24"/>
        </w:rPr>
      </w:pPr>
      <w:r>
        <w:rPr>
          <w:rFonts w:hint="eastAsia" w:hAnsi="宋体"/>
          <w:color w:val="000000"/>
          <w:sz w:val="24"/>
        </w:rPr>
        <w:t>本标准主编单位</w:t>
      </w:r>
      <w:r>
        <w:rPr>
          <w:rFonts w:hAnsi="宋体"/>
          <w:color w:val="000000"/>
          <w:sz w:val="24"/>
        </w:rPr>
        <w:t>：</w:t>
      </w:r>
      <w:r>
        <w:rPr>
          <w:rFonts w:hAnsi="宋体"/>
          <w:color w:val="000000"/>
          <w:sz w:val="24"/>
        </w:rPr>
        <w:tab/>
      </w:r>
      <w:r>
        <w:rPr>
          <w:rFonts w:hint="eastAsia" w:hAnsi="宋体"/>
          <w:color w:val="000000"/>
          <w:sz w:val="24"/>
        </w:rPr>
        <w:t>同济大学</w:t>
      </w:r>
    </w:p>
    <w:p w14:paraId="65C3E4F1">
      <w:pPr>
        <w:spacing w:line="312" w:lineRule="auto"/>
        <w:ind w:left="2040" w:firstLine="480" w:firstLineChars="200"/>
        <w:jc w:val="both"/>
        <w:rPr>
          <w:rFonts w:hAnsi="宋体"/>
          <w:color w:val="000000"/>
          <w:sz w:val="24"/>
        </w:rPr>
      </w:pPr>
      <w:r>
        <w:rPr>
          <w:rFonts w:hint="eastAsia" w:hAnsi="宋体"/>
          <w:color w:val="000000"/>
          <w:sz w:val="24"/>
        </w:rPr>
        <w:t>中铁上海设计院集团有限公司</w:t>
      </w:r>
    </w:p>
    <w:p w14:paraId="2732DAAD">
      <w:pPr>
        <w:spacing w:line="312" w:lineRule="auto"/>
        <w:ind w:firstLine="480" w:firstLineChars="200"/>
        <w:jc w:val="both"/>
        <w:rPr>
          <w:rFonts w:hAnsi="宋体"/>
          <w:color w:val="000000"/>
          <w:sz w:val="24"/>
        </w:rPr>
      </w:pPr>
      <w:r>
        <w:rPr>
          <w:rFonts w:hint="eastAsia" w:hAnsi="宋体"/>
          <w:color w:val="000000"/>
          <w:sz w:val="24"/>
        </w:rPr>
        <w:t>本标准</w:t>
      </w:r>
      <w:r>
        <w:rPr>
          <w:rFonts w:hAnsi="宋体"/>
          <w:color w:val="000000"/>
          <w:sz w:val="24"/>
        </w:rPr>
        <w:t>参编单位：</w:t>
      </w:r>
      <w:r>
        <w:rPr>
          <w:rFonts w:hint="eastAsia" w:hAnsi="宋体"/>
          <w:color w:val="000000"/>
          <w:sz w:val="24"/>
        </w:rPr>
        <w:t>XXXX</w:t>
      </w:r>
      <w:r>
        <w:rPr>
          <w:rFonts w:hAnsi="宋体"/>
          <w:color w:val="000000"/>
          <w:sz w:val="24"/>
        </w:rPr>
        <w:t xml:space="preserve"> </w:t>
      </w:r>
    </w:p>
    <w:p w14:paraId="64FBF29E">
      <w:pPr>
        <w:spacing w:line="312" w:lineRule="auto"/>
        <w:ind w:firstLine="480" w:firstLineChars="200"/>
        <w:jc w:val="both"/>
        <w:rPr>
          <w:rFonts w:hAnsi="宋体"/>
          <w:color w:val="000000"/>
          <w:sz w:val="24"/>
        </w:rPr>
      </w:pPr>
      <w:r>
        <w:rPr>
          <w:rFonts w:hint="eastAsia" w:hAnsi="宋体"/>
          <w:color w:val="000000"/>
          <w:sz w:val="24"/>
        </w:rPr>
        <w:t>本标准</w:t>
      </w:r>
      <w:r>
        <w:rPr>
          <w:rFonts w:hAnsi="宋体"/>
          <w:color w:val="000000"/>
          <w:sz w:val="24"/>
        </w:rPr>
        <w:t>主要起草</w:t>
      </w:r>
      <w:r>
        <w:rPr>
          <w:rFonts w:hint="eastAsia" w:hAnsi="宋体"/>
          <w:color w:val="000000"/>
          <w:sz w:val="24"/>
        </w:rPr>
        <w:t>人员</w:t>
      </w:r>
      <w:r>
        <w:rPr>
          <w:rFonts w:hAnsi="宋体"/>
          <w:color w:val="000000"/>
          <w:sz w:val="24"/>
        </w:rPr>
        <w:t>：</w:t>
      </w:r>
      <w:r>
        <w:rPr>
          <w:rFonts w:hint="eastAsia" w:hAnsi="宋体"/>
          <w:color w:val="000000"/>
          <w:sz w:val="24"/>
        </w:rPr>
        <w:t xml:space="preserve"> XXX</w:t>
      </w:r>
      <w:r>
        <w:rPr>
          <w:rFonts w:hAnsi="宋体"/>
          <w:color w:val="000000"/>
          <w:sz w:val="24"/>
        </w:rPr>
        <w:t>X</w:t>
      </w:r>
    </w:p>
    <w:p w14:paraId="30977416">
      <w:pPr>
        <w:spacing w:line="312" w:lineRule="auto"/>
        <w:ind w:firstLine="480" w:firstLineChars="200"/>
        <w:jc w:val="both"/>
        <w:rPr>
          <w:rFonts w:hAnsi="宋体"/>
          <w:color w:val="000000"/>
          <w:sz w:val="24"/>
        </w:rPr>
      </w:pPr>
      <w:r>
        <w:rPr>
          <w:rFonts w:hint="eastAsia" w:hAnsi="宋体"/>
          <w:color w:val="000000"/>
          <w:sz w:val="24"/>
        </w:rPr>
        <w:t>本标准</w:t>
      </w:r>
      <w:r>
        <w:rPr>
          <w:rFonts w:hAnsi="宋体"/>
          <w:color w:val="000000"/>
          <w:sz w:val="24"/>
        </w:rPr>
        <w:t>主要审查</w:t>
      </w:r>
      <w:r>
        <w:rPr>
          <w:rFonts w:hint="eastAsia" w:hAnsi="宋体"/>
          <w:color w:val="000000"/>
          <w:sz w:val="24"/>
        </w:rPr>
        <w:t>人员</w:t>
      </w:r>
      <w:r>
        <w:rPr>
          <w:rFonts w:hAnsi="宋体"/>
          <w:color w:val="000000"/>
          <w:sz w:val="24"/>
        </w:rPr>
        <w:t>：</w:t>
      </w:r>
      <w:r>
        <w:rPr>
          <w:rFonts w:hint="eastAsia" w:hAnsi="宋体"/>
          <w:color w:val="000000"/>
          <w:sz w:val="24"/>
        </w:rPr>
        <w:t>X</w:t>
      </w:r>
      <w:r>
        <w:rPr>
          <w:rFonts w:hAnsi="宋体"/>
          <w:color w:val="000000"/>
          <w:sz w:val="24"/>
        </w:rPr>
        <w:t>XXX</w:t>
      </w:r>
    </w:p>
    <w:p w14:paraId="3D4D3DEB">
      <w:pPr>
        <w:spacing w:line="312" w:lineRule="auto"/>
        <w:ind w:firstLine="480" w:firstLineChars="200"/>
        <w:jc w:val="both"/>
        <w:rPr>
          <w:rFonts w:hAnsi="宋体"/>
          <w:color w:val="000000"/>
          <w:sz w:val="24"/>
        </w:rPr>
      </w:pPr>
    </w:p>
    <w:p w14:paraId="574D369D">
      <w:pPr>
        <w:rPr>
          <w:rStyle w:val="41"/>
          <w:rFonts w:ascii="宋体" w:hAnsi="宋体"/>
          <w:color w:val="auto"/>
          <w:sz w:val="24"/>
          <w:u w:val="none"/>
        </w:rPr>
        <w:sectPr>
          <w:footerReference r:id="rId8" w:type="default"/>
          <w:pgSz w:w="11906" w:h="16838"/>
          <w:pgMar w:top="1418" w:right="1701" w:bottom="1418" w:left="1701" w:header="851" w:footer="992" w:gutter="0"/>
          <w:pgNumType w:fmt="upperRoman" w:start="1"/>
          <w:cols w:space="425" w:num="1"/>
          <w:docGrid w:type="lines" w:linePitch="312" w:charSpace="0"/>
        </w:sectPr>
      </w:pPr>
    </w:p>
    <w:p w14:paraId="5336D563">
      <w:pPr>
        <w:pStyle w:val="49"/>
        <w:spacing w:before="312" w:after="312" w:line="360" w:lineRule="auto"/>
        <w:jc w:val="center"/>
        <w:rPr>
          <w:rFonts w:ascii="Times New Roman" w:hAnsi="Times New Roman"/>
          <w:bCs/>
          <w:color w:val="000000"/>
        </w:rPr>
      </w:pPr>
      <w:r>
        <w:rPr>
          <w:rFonts w:ascii="Times New Roman" w:hAnsi="Times New Roman"/>
          <w:bCs/>
          <w:color w:val="000000"/>
          <w:lang w:val="zh-CN"/>
        </w:rPr>
        <w:t>目  次</w:t>
      </w:r>
    </w:p>
    <w:p w14:paraId="482CE2F9">
      <w:pPr>
        <w:pStyle w:val="24"/>
        <w:tabs>
          <w:tab w:val="right" w:leader="dot" w:pos="8494"/>
        </w:tabs>
        <w:rPr>
          <w:rFonts w:asciiTheme="minorHAnsi" w:hAnsiTheme="minorHAnsi" w:eastAsiaTheme="minorEastAsia" w:cstheme="minorBidi"/>
          <w:sz w:val="22"/>
          <w:szCs w:val="24"/>
          <w14:ligatures w14:val="standardContextual"/>
        </w:rPr>
      </w:pPr>
      <w:r>
        <w:rPr>
          <w:color w:val="000000"/>
          <w:sz w:val="24"/>
        </w:rPr>
        <w:fldChar w:fldCharType="begin"/>
      </w:r>
      <w:r>
        <w:rPr>
          <w:color w:val="000000"/>
          <w:sz w:val="24"/>
        </w:rPr>
        <w:instrText xml:space="preserve"> TOC \o "1-1" \h \z \t "标题 2,2,(条例)二级标题,2,(条文说明)二级标题,2" </w:instrText>
      </w:r>
      <w:r>
        <w:rPr>
          <w:color w:val="000000"/>
          <w:sz w:val="24"/>
        </w:rPr>
        <w:fldChar w:fldCharType="separate"/>
      </w:r>
      <w:r>
        <w:fldChar w:fldCharType="begin"/>
      </w:r>
      <w:r>
        <w:instrText xml:space="preserve"> HYPERLINK \l "_Toc221528672" </w:instrText>
      </w:r>
      <w:r>
        <w:fldChar w:fldCharType="separate"/>
      </w:r>
      <w:r>
        <w:rPr>
          <w:rStyle w:val="41"/>
        </w:rPr>
        <w:t>1  总  则</w:t>
      </w:r>
      <w:r>
        <w:tab/>
      </w:r>
      <w:r>
        <w:fldChar w:fldCharType="begin"/>
      </w:r>
      <w:r>
        <w:instrText xml:space="preserve"> PAGEREF _Toc221528672 \h </w:instrText>
      </w:r>
      <w:r>
        <w:fldChar w:fldCharType="separate"/>
      </w:r>
      <w:r>
        <w:t>1</w:t>
      </w:r>
      <w:r>
        <w:fldChar w:fldCharType="end"/>
      </w:r>
      <w:r>
        <w:fldChar w:fldCharType="end"/>
      </w:r>
    </w:p>
    <w:p w14:paraId="7D0C40B2">
      <w:pPr>
        <w:pStyle w:val="24"/>
        <w:tabs>
          <w:tab w:val="right" w:leader="dot" w:pos="8494"/>
        </w:tabs>
        <w:rPr>
          <w:rFonts w:asciiTheme="minorHAnsi" w:hAnsiTheme="minorHAnsi" w:eastAsiaTheme="minorEastAsia" w:cstheme="minorBidi"/>
          <w:sz w:val="22"/>
          <w:szCs w:val="24"/>
          <w14:ligatures w14:val="standardContextual"/>
        </w:rPr>
      </w:pPr>
      <w:r>
        <w:fldChar w:fldCharType="begin"/>
      </w:r>
      <w:r>
        <w:instrText xml:space="preserve"> HYPERLINK \l "_Toc221528673" </w:instrText>
      </w:r>
      <w:r>
        <w:fldChar w:fldCharType="separate"/>
      </w:r>
      <w:r>
        <w:rPr>
          <w:rStyle w:val="41"/>
        </w:rPr>
        <w:t>2  术语、缩略语与参考标准</w:t>
      </w:r>
      <w:r>
        <w:tab/>
      </w:r>
      <w:r>
        <w:fldChar w:fldCharType="begin"/>
      </w:r>
      <w:r>
        <w:instrText xml:space="preserve"> PAGEREF _Toc221528673 \h </w:instrText>
      </w:r>
      <w:r>
        <w:fldChar w:fldCharType="separate"/>
      </w:r>
      <w:r>
        <w:t>2</w:t>
      </w:r>
      <w:r>
        <w:fldChar w:fldCharType="end"/>
      </w:r>
      <w:r>
        <w:fldChar w:fldCharType="end"/>
      </w:r>
    </w:p>
    <w:p w14:paraId="5A1AEF7D">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"_Toc221528674" </w:instrText>
      </w:r>
      <w:r>
        <w:fldChar w:fldCharType="separate"/>
      </w:r>
      <w:r>
        <w:rPr>
          <w:rStyle w:val="41"/>
        </w:rPr>
        <w:t>2.1  术  语</w:t>
      </w:r>
      <w:r>
        <w:tab/>
      </w:r>
      <w:r>
        <w:fldChar w:fldCharType="begin"/>
      </w:r>
      <w:r>
        <w:instrText xml:space="preserve"> PAGEREF _Toc221528674 \h </w:instrText>
      </w:r>
      <w:r>
        <w:fldChar w:fldCharType="separate"/>
      </w:r>
      <w:r>
        <w:t>2</w:t>
      </w:r>
      <w:r>
        <w:fldChar w:fldCharType="end"/>
      </w:r>
      <w:r>
        <w:fldChar w:fldCharType="end"/>
      </w:r>
    </w:p>
    <w:p w14:paraId="56626DF1">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"_Toc221528675" </w:instrText>
      </w:r>
      <w:r>
        <w:fldChar w:fldCharType="separate"/>
      </w:r>
      <w:r>
        <w:rPr>
          <w:rStyle w:val="41"/>
        </w:rPr>
        <w:t>2.2  缩略语</w:t>
      </w:r>
      <w:r>
        <w:tab/>
      </w:r>
      <w:r>
        <w:fldChar w:fldCharType="begin"/>
      </w:r>
      <w:r>
        <w:instrText xml:space="preserve"> PAGEREF _Toc221528675 \h </w:instrText>
      </w:r>
      <w:r>
        <w:fldChar w:fldCharType="separate"/>
      </w:r>
      <w:r>
        <w:t>2</w:t>
      </w:r>
      <w:r>
        <w:fldChar w:fldCharType="end"/>
      </w:r>
      <w:r>
        <w:fldChar w:fldCharType="end"/>
      </w:r>
    </w:p>
    <w:p w14:paraId="1920A719">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"_Toc221528676" </w:instrText>
      </w:r>
      <w:r>
        <w:fldChar w:fldCharType="separate"/>
      </w:r>
      <w:r>
        <w:rPr>
          <w:rStyle w:val="41"/>
        </w:rPr>
        <w:t>2.3  参考标准</w:t>
      </w:r>
      <w:r>
        <w:tab/>
      </w:r>
      <w:r>
        <w:fldChar w:fldCharType="begin"/>
      </w:r>
      <w:r>
        <w:instrText xml:space="preserve"> PAGEREF _Toc221528676 \h </w:instrText>
      </w:r>
      <w:r>
        <w:fldChar w:fldCharType="separate"/>
      </w:r>
      <w:r>
        <w:t>2</w:t>
      </w:r>
      <w:r>
        <w:fldChar w:fldCharType="end"/>
      </w:r>
      <w:r>
        <w:fldChar w:fldCharType="end"/>
      </w:r>
    </w:p>
    <w:p w14:paraId="14B716D1">
      <w:pPr>
        <w:pStyle w:val="24"/>
        <w:tabs>
          <w:tab w:val="right" w:leader="dot" w:pos="8494"/>
        </w:tabs>
        <w:rPr>
          <w:rFonts w:asciiTheme="minorHAnsi" w:hAnsiTheme="minorHAnsi" w:eastAsiaTheme="minorEastAsia" w:cstheme="minorBidi"/>
          <w:sz w:val="22"/>
          <w:szCs w:val="24"/>
          <w14:ligatures w14:val="standardContextual"/>
        </w:rPr>
      </w:pPr>
      <w:r>
        <w:fldChar w:fldCharType="begin"/>
      </w:r>
      <w:r>
        <w:instrText xml:space="preserve"> HYPERLINK \l "_Toc221528677" </w:instrText>
      </w:r>
      <w:r>
        <w:fldChar w:fldCharType="separate"/>
      </w:r>
      <w:r>
        <w:rPr>
          <w:rStyle w:val="41"/>
        </w:rPr>
        <w:t>3  基本规定</w:t>
      </w:r>
      <w:r>
        <w:tab/>
      </w:r>
      <w:r>
        <w:fldChar w:fldCharType="begin"/>
      </w:r>
      <w:r>
        <w:instrText xml:space="preserve"> PAGEREF _Toc221528677 \h </w:instrText>
      </w:r>
      <w:r>
        <w:fldChar w:fldCharType="separate"/>
      </w:r>
      <w:r>
        <w:t>4</w:t>
      </w:r>
      <w:r>
        <w:fldChar w:fldCharType="end"/>
      </w:r>
      <w:r>
        <w:fldChar w:fldCharType="end"/>
      </w:r>
    </w:p>
    <w:p w14:paraId="4EF31443">
      <w:pPr>
        <w:pStyle w:val="24"/>
        <w:tabs>
          <w:tab w:val="right" w:leader="dot" w:pos="8494"/>
        </w:tabs>
        <w:rPr>
          <w:rFonts w:asciiTheme="minorHAnsi" w:hAnsiTheme="minorHAnsi" w:eastAsiaTheme="minorEastAsia" w:cstheme="minorBidi"/>
          <w:sz w:val="22"/>
          <w:szCs w:val="24"/>
          <w14:ligatures w14:val="standardContextual"/>
        </w:rPr>
      </w:pPr>
      <w:r>
        <w:fldChar w:fldCharType="begin"/>
      </w:r>
      <w:r>
        <w:instrText xml:space="preserve"> HYPERLINK \l "_Toc221528678" </w:instrText>
      </w:r>
      <w:r>
        <w:fldChar w:fldCharType="separate"/>
      </w:r>
      <w:r>
        <w:rPr>
          <w:rStyle w:val="41"/>
        </w:rPr>
        <w:t>4  防船撞监测</w:t>
      </w:r>
      <w:r>
        <w:tab/>
      </w:r>
      <w:r>
        <w:fldChar w:fldCharType="begin"/>
      </w:r>
      <w:r>
        <w:instrText xml:space="preserve"> PAGEREF _Toc221528678 \h </w:instrText>
      </w:r>
      <w:r>
        <w:fldChar w:fldCharType="separate"/>
      </w:r>
      <w:r>
        <w:t>6</w:t>
      </w:r>
      <w:r>
        <w:fldChar w:fldCharType="end"/>
      </w:r>
      <w:r>
        <w:fldChar w:fldCharType="end"/>
      </w:r>
    </w:p>
    <w:p w14:paraId="5E5D1AFD">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"_Toc221528679" </w:instrText>
      </w:r>
      <w:r>
        <w:fldChar w:fldCharType="separate"/>
      </w:r>
      <w:r>
        <w:rPr>
          <w:rStyle w:val="41"/>
        </w:rPr>
        <w:t>4.1  监测内容</w:t>
      </w:r>
      <w:r>
        <w:tab/>
      </w:r>
      <w:r>
        <w:fldChar w:fldCharType="begin"/>
      </w:r>
      <w:r>
        <w:instrText xml:space="preserve"> PAGEREF _Toc221528679 \h </w:instrText>
      </w:r>
      <w:r>
        <w:fldChar w:fldCharType="separate"/>
      </w:r>
      <w:r>
        <w:t>6</w:t>
      </w:r>
      <w:r>
        <w:fldChar w:fldCharType="end"/>
      </w:r>
      <w:r>
        <w:fldChar w:fldCharType="end"/>
      </w:r>
    </w:p>
    <w:p w14:paraId="34E15525">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"_Toc221528680" </w:instrText>
      </w:r>
      <w:r>
        <w:fldChar w:fldCharType="separate"/>
      </w:r>
      <w:r>
        <w:rPr>
          <w:rStyle w:val="41"/>
        </w:rPr>
        <w:t>4.2  监测设备</w:t>
      </w:r>
      <w:r>
        <w:tab/>
      </w:r>
      <w:r>
        <w:fldChar w:fldCharType="begin"/>
      </w:r>
      <w:r>
        <w:instrText xml:space="preserve"> PAGEREF _Toc221528680 \h </w:instrText>
      </w:r>
      <w:r>
        <w:fldChar w:fldCharType="separate"/>
      </w:r>
      <w:r>
        <w:t>7</w:t>
      </w:r>
      <w:r>
        <w:fldChar w:fldCharType="end"/>
      </w:r>
      <w:r>
        <w:fldChar w:fldCharType="end"/>
      </w:r>
    </w:p>
    <w:p w14:paraId="438C423C">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"_Toc221528681" </w:instrText>
      </w:r>
      <w:r>
        <w:fldChar w:fldCharType="separate"/>
      </w:r>
      <w:r>
        <w:rPr>
          <w:rStyle w:val="41"/>
        </w:rPr>
        <w:t>4.3  测点布置</w:t>
      </w:r>
      <w:r>
        <w:tab/>
      </w:r>
      <w:r>
        <w:fldChar w:fldCharType="begin"/>
      </w:r>
      <w:r>
        <w:instrText xml:space="preserve"> PAGEREF _Toc221528681 \h </w:instrText>
      </w:r>
      <w:r>
        <w:fldChar w:fldCharType="separate"/>
      </w:r>
      <w:r>
        <w:t>8</w:t>
      </w:r>
      <w:r>
        <w:fldChar w:fldCharType="end"/>
      </w:r>
      <w:r>
        <w:fldChar w:fldCharType="end"/>
      </w:r>
    </w:p>
    <w:p w14:paraId="76D5D0CF">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"_Toc221528682" </w:instrText>
      </w:r>
      <w:r>
        <w:fldChar w:fldCharType="separate"/>
      </w:r>
      <w:r>
        <w:rPr>
          <w:rStyle w:val="41"/>
        </w:rPr>
        <w:t>4.4  监测系统</w:t>
      </w:r>
      <w:r>
        <w:tab/>
      </w:r>
      <w:r>
        <w:fldChar w:fldCharType="begin"/>
      </w:r>
      <w:r>
        <w:instrText xml:space="preserve"> PAGEREF _Toc221528682 \h </w:instrText>
      </w:r>
      <w:r>
        <w:fldChar w:fldCharType="separate"/>
      </w:r>
      <w:r>
        <w:t>9</w:t>
      </w:r>
      <w:r>
        <w:fldChar w:fldCharType="end"/>
      </w:r>
      <w:r>
        <w:fldChar w:fldCharType="end"/>
      </w:r>
    </w:p>
    <w:p w14:paraId="03B88D50">
      <w:pPr>
        <w:pStyle w:val="24"/>
        <w:tabs>
          <w:tab w:val="right" w:leader="dot" w:pos="8494"/>
        </w:tabs>
        <w:rPr>
          <w:rFonts w:asciiTheme="minorHAnsi" w:hAnsiTheme="minorHAnsi" w:eastAsiaTheme="minorEastAsia" w:cstheme="minorBidi"/>
          <w:sz w:val="22"/>
          <w:szCs w:val="24"/>
          <w14:ligatures w14:val="standardContextual"/>
        </w:rPr>
      </w:pPr>
      <w:r>
        <w:fldChar w:fldCharType="begin"/>
      </w:r>
      <w:r>
        <w:instrText xml:space="preserve"> HYPERLINK \l "_Toc221528683" </w:instrText>
      </w:r>
      <w:r>
        <w:fldChar w:fldCharType="separate"/>
      </w:r>
      <w:r>
        <w:rPr>
          <w:rStyle w:val="41"/>
        </w:rPr>
        <w:t>5  监测数据管理</w:t>
      </w:r>
      <w:r>
        <w:tab/>
      </w:r>
      <w:r>
        <w:fldChar w:fldCharType="begin"/>
      </w:r>
      <w:r>
        <w:instrText xml:space="preserve"> PAGEREF _Toc221528683 \h </w:instrText>
      </w:r>
      <w:r>
        <w:fldChar w:fldCharType="separate"/>
      </w:r>
      <w:r>
        <w:t>11</w:t>
      </w:r>
      <w:r>
        <w:fldChar w:fldCharType="end"/>
      </w:r>
      <w:r>
        <w:fldChar w:fldCharType="end"/>
      </w:r>
    </w:p>
    <w:p w14:paraId="5A11F021">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"_Toc221528684" </w:instrText>
      </w:r>
      <w:r>
        <w:fldChar w:fldCharType="separate"/>
      </w:r>
      <w:r>
        <w:rPr>
          <w:rStyle w:val="41"/>
        </w:rPr>
        <w:t>5.1  一般规定</w:t>
      </w:r>
      <w:r>
        <w:tab/>
      </w:r>
      <w:r>
        <w:fldChar w:fldCharType="begin"/>
      </w:r>
      <w:r>
        <w:instrText xml:space="preserve"> PAGEREF _Toc221528684 \h </w:instrText>
      </w:r>
      <w:r>
        <w:fldChar w:fldCharType="separate"/>
      </w:r>
      <w:r>
        <w:t>11</w:t>
      </w:r>
      <w:r>
        <w:fldChar w:fldCharType="end"/>
      </w:r>
      <w:r>
        <w:fldChar w:fldCharType="end"/>
      </w:r>
    </w:p>
    <w:p w14:paraId="7D36196C">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"_Toc221528685" </w:instrText>
      </w:r>
      <w:r>
        <w:fldChar w:fldCharType="separate"/>
      </w:r>
      <w:r>
        <w:rPr>
          <w:rStyle w:val="41"/>
        </w:rPr>
        <w:t>5.2  数据采集</w:t>
      </w:r>
      <w:r>
        <w:tab/>
      </w:r>
      <w:r>
        <w:fldChar w:fldCharType="begin"/>
      </w:r>
      <w:r>
        <w:instrText xml:space="preserve"> PAGEREF _Toc221528685 \h </w:instrText>
      </w:r>
      <w:r>
        <w:fldChar w:fldCharType="separate"/>
      </w:r>
      <w:r>
        <w:t>11</w:t>
      </w:r>
      <w:r>
        <w:fldChar w:fldCharType="end"/>
      </w:r>
      <w:r>
        <w:fldChar w:fldCharType="end"/>
      </w:r>
    </w:p>
    <w:p w14:paraId="1F7A329B">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"_Toc221528686" </w:instrText>
      </w:r>
      <w:r>
        <w:fldChar w:fldCharType="separate"/>
      </w:r>
      <w:r>
        <w:rPr>
          <w:rStyle w:val="41"/>
        </w:rPr>
        <w:t>5.3  数据编码</w:t>
      </w:r>
      <w:r>
        <w:tab/>
      </w:r>
      <w:r>
        <w:fldChar w:fldCharType="begin"/>
      </w:r>
      <w:r>
        <w:instrText xml:space="preserve"> PAGEREF _Toc221528686 \h </w:instrText>
      </w:r>
      <w:r>
        <w:fldChar w:fldCharType="separate"/>
      </w:r>
      <w:r>
        <w:t>11</w:t>
      </w:r>
      <w:r>
        <w:fldChar w:fldCharType="end"/>
      </w:r>
      <w:r>
        <w:fldChar w:fldCharType="end"/>
      </w:r>
    </w:p>
    <w:p w14:paraId="2DF42D37">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"_Toc221528687" </w:instrText>
      </w:r>
      <w:r>
        <w:fldChar w:fldCharType="separate"/>
      </w:r>
      <w:r>
        <w:rPr>
          <w:rStyle w:val="41"/>
        </w:rPr>
        <w:t>5.4  数据传输</w:t>
      </w:r>
      <w:r>
        <w:tab/>
      </w:r>
      <w:r>
        <w:fldChar w:fldCharType="begin"/>
      </w:r>
      <w:r>
        <w:instrText xml:space="preserve"> PAGEREF _Toc221528687 \h </w:instrText>
      </w:r>
      <w:r>
        <w:fldChar w:fldCharType="separate"/>
      </w:r>
      <w:r>
        <w:t>12</w:t>
      </w:r>
      <w:r>
        <w:fldChar w:fldCharType="end"/>
      </w:r>
      <w:r>
        <w:fldChar w:fldCharType="end"/>
      </w:r>
    </w:p>
    <w:p w14:paraId="0B7766B5">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"_Toc221528688" </w:instrText>
      </w:r>
      <w:r>
        <w:fldChar w:fldCharType="separate"/>
      </w:r>
      <w:r>
        <w:rPr>
          <w:rStyle w:val="41"/>
        </w:rPr>
        <w:t>5.5  数据处理与分析</w:t>
      </w:r>
      <w:r>
        <w:tab/>
      </w:r>
      <w:r>
        <w:fldChar w:fldCharType="begin"/>
      </w:r>
      <w:r>
        <w:instrText xml:space="preserve"> PAGEREF _Toc221528688 \h </w:instrText>
      </w:r>
      <w:r>
        <w:fldChar w:fldCharType="separate"/>
      </w:r>
      <w:r>
        <w:t>12</w:t>
      </w:r>
      <w:r>
        <w:fldChar w:fldCharType="end"/>
      </w:r>
      <w:r>
        <w:fldChar w:fldCharType="end"/>
      </w:r>
    </w:p>
    <w:p w14:paraId="7EABEB6B">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"_Toc221528689" </w:instrText>
      </w:r>
      <w:r>
        <w:fldChar w:fldCharType="separate"/>
      </w:r>
      <w:r>
        <w:rPr>
          <w:rStyle w:val="41"/>
        </w:rPr>
        <w:t>5.6  数据存储</w:t>
      </w:r>
      <w:r>
        <w:tab/>
      </w:r>
      <w:r>
        <w:fldChar w:fldCharType="begin"/>
      </w:r>
      <w:r>
        <w:instrText xml:space="preserve"> PAGEREF _Toc221528689 \h </w:instrText>
      </w:r>
      <w:r>
        <w:fldChar w:fldCharType="separate"/>
      </w:r>
      <w:r>
        <w:t>13</w:t>
      </w:r>
      <w:r>
        <w:fldChar w:fldCharType="end"/>
      </w:r>
      <w:r>
        <w:fldChar w:fldCharType="end"/>
      </w:r>
    </w:p>
    <w:p w14:paraId="24735485">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"_Toc221528690" </w:instrText>
      </w:r>
      <w:r>
        <w:fldChar w:fldCharType="separate"/>
      </w:r>
      <w:r>
        <w:rPr>
          <w:rStyle w:val="41"/>
        </w:rPr>
        <w:t>5.7  数据交互与安全</w:t>
      </w:r>
      <w:r>
        <w:tab/>
      </w:r>
      <w:r>
        <w:fldChar w:fldCharType="begin"/>
      </w:r>
      <w:r>
        <w:instrText xml:space="preserve"> PAGEREF _Toc221528690 \h </w:instrText>
      </w:r>
      <w:r>
        <w:fldChar w:fldCharType="separate"/>
      </w:r>
      <w:r>
        <w:t>14</w:t>
      </w:r>
      <w:r>
        <w:fldChar w:fldCharType="end"/>
      </w:r>
      <w:r>
        <w:fldChar w:fldCharType="end"/>
      </w:r>
    </w:p>
    <w:p w14:paraId="777E347A">
      <w:pPr>
        <w:pStyle w:val="24"/>
        <w:tabs>
          <w:tab w:val="right" w:leader="dot" w:pos="8494"/>
        </w:tabs>
        <w:rPr>
          <w:rFonts w:asciiTheme="minorHAnsi" w:hAnsiTheme="minorHAnsi" w:eastAsiaTheme="minorEastAsia" w:cstheme="minorBidi"/>
          <w:sz w:val="22"/>
          <w:szCs w:val="24"/>
          <w14:ligatures w14:val="standardContextual"/>
        </w:rPr>
      </w:pPr>
      <w:r>
        <w:fldChar w:fldCharType="begin"/>
      </w:r>
      <w:r>
        <w:instrText xml:space="preserve"> HYPERLINK \l "_Toc221528691" </w:instrText>
      </w:r>
      <w:r>
        <w:fldChar w:fldCharType="separate"/>
      </w:r>
      <w:r>
        <w:rPr>
          <w:rStyle w:val="41"/>
        </w:rPr>
        <w:t>6  预警分区与预警方式</w:t>
      </w:r>
      <w:r>
        <w:tab/>
      </w:r>
      <w:r>
        <w:fldChar w:fldCharType="begin"/>
      </w:r>
      <w:r>
        <w:instrText xml:space="preserve"> PAGEREF _Toc221528691 \h </w:instrText>
      </w:r>
      <w:r>
        <w:fldChar w:fldCharType="separate"/>
      </w:r>
      <w:r>
        <w:t>15</w:t>
      </w:r>
      <w:r>
        <w:fldChar w:fldCharType="end"/>
      </w:r>
      <w:r>
        <w:fldChar w:fldCharType="end"/>
      </w:r>
    </w:p>
    <w:p w14:paraId="3FB01512">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"_Toc221528692" </w:instrText>
      </w:r>
      <w:r>
        <w:fldChar w:fldCharType="separate"/>
      </w:r>
      <w:r>
        <w:rPr>
          <w:rStyle w:val="41"/>
        </w:rPr>
        <w:t>6.1  预警分区</w:t>
      </w:r>
      <w:r>
        <w:tab/>
      </w:r>
      <w:r>
        <w:fldChar w:fldCharType="begin"/>
      </w:r>
      <w:r>
        <w:instrText xml:space="preserve"> PAGEREF _Toc221528692 \h </w:instrText>
      </w:r>
      <w:r>
        <w:fldChar w:fldCharType="separate"/>
      </w:r>
      <w:r>
        <w:t>15</w:t>
      </w:r>
      <w:r>
        <w:fldChar w:fldCharType="end"/>
      </w:r>
      <w:r>
        <w:fldChar w:fldCharType="end"/>
      </w:r>
    </w:p>
    <w:p w14:paraId="61252AFB">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"_Toc221528693" </w:instrText>
      </w:r>
      <w:r>
        <w:fldChar w:fldCharType="separate"/>
      </w:r>
      <w:r>
        <w:rPr>
          <w:rStyle w:val="41"/>
        </w:rPr>
        <w:t>6.2  预警方式</w:t>
      </w:r>
      <w:r>
        <w:tab/>
      </w:r>
      <w:r>
        <w:fldChar w:fldCharType="begin"/>
      </w:r>
      <w:r>
        <w:instrText xml:space="preserve"> PAGEREF _Toc221528693 \h </w:instrText>
      </w:r>
      <w:r>
        <w:fldChar w:fldCharType="separate"/>
      </w:r>
      <w:r>
        <w:t>16</w:t>
      </w:r>
      <w:r>
        <w:fldChar w:fldCharType="end"/>
      </w:r>
      <w:r>
        <w:fldChar w:fldCharType="end"/>
      </w:r>
    </w:p>
    <w:p w14:paraId="69EEB80C">
      <w:pPr>
        <w:pStyle w:val="24"/>
        <w:tabs>
          <w:tab w:val="right" w:leader="dot" w:pos="8494"/>
        </w:tabs>
        <w:rPr>
          <w:rFonts w:asciiTheme="minorHAnsi" w:hAnsiTheme="minorHAnsi" w:eastAsiaTheme="minorEastAsia" w:cstheme="minorBidi"/>
          <w:sz w:val="22"/>
          <w:szCs w:val="24"/>
          <w14:ligatures w14:val="standardContextual"/>
        </w:rPr>
      </w:pPr>
      <w:r>
        <w:fldChar w:fldCharType="begin"/>
      </w:r>
      <w:r>
        <w:instrText xml:space="preserve"> HYPERLINK \l "_Toc221528694" </w:instrText>
      </w:r>
      <w:r>
        <w:fldChar w:fldCharType="separate"/>
      </w:r>
      <w:r>
        <w:rPr>
          <w:rStyle w:val="41"/>
        </w:rPr>
        <w:t>7  监测系统验收</w:t>
      </w:r>
      <w:r>
        <w:tab/>
      </w:r>
      <w:r>
        <w:fldChar w:fldCharType="begin"/>
      </w:r>
      <w:r>
        <w:instrText xml:space="preserve"> PAGEREF _Toc221528694 \h </w:instrText>
      </w:r>
      <w:r>
        <w:fldChar w:fldCharType="separate"/>
      </w:r>
      <w:r>
        <w:t>18</w:t>
      </w:r>
      <w:r>
        <w:fldChar w:fldCharType="end"/>
      </w:r>
      <w:r>
        <w:fldChar w:fldCharType="end"/>
      </w:r>
    </w:p>
    <w:p w14:paraId="06178E89">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"_Toc221528695" </w:instrText>
      </w:r>
      <w:r>
        <w:fldChar w:fldCharType="separate"/>
      </w:r>
      <w:r>
        <w:rPr>
          <w:rStyle w:val="41"/>
        </w:rPr>
        <w:t>7.1  硬件设备验收</w:t>
      </w:r>
      <w:r>
        <w:tab/>
      </w:r>
      <w:r>
        <w:fldChar w:fldCharType="begin"/>
      </w:r>
      <w:r>
        <w:instrText xml:space="preserve"> PAGEREF _Toc221528695 \h </w:instrText>
      </w:r>
      <w:r>
        <w:fldChar w:fldCharType="separate"/>
      </w:r>
      <w:r>
        <w:t>18</w:t>
      </w:r>
      <w:r>
        <w:fldChar w:fldCharType="end"/>
      </w:r>
      <w:r>
        <w:fldChar w:fldCharType="end"/>
      </w:r>
    </w:p>
    <w:p w14:paraId="50C3E001">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"_Toc221528696" </w:instrText>
      </w:r>
      <w:r>
        <w:fldChar w:fldCharType="separate"/>
      </w:r>
      <w:r>
        <w:rPr>
          <w:rStyle w:val="41"/>
        </w:rPr>
        <w:t>7.2  监测功能验收</w:t>
      </w:r>
      <w:r>
        <w:tab/>
      </w:r>
      <w:r>
        <w:fldChar w:fldCharType="begin"/>
      </w:r>
      <w:r>
        <w:instrText xml:space="preserve"> PAGEREF _Toc221528696 \h </w:instrText>
      </w:r>
      <w:r>
        <w:fldChar w:fldCharType="separate"/>
      </w:r>
      <w:r>
        <w:t>18</w:t>
      </w:r>
      <w:r>
        <w:fldChar w:fldCharType="end"/>
      </w:r>
      <w:r>
        <w:fldChar w:fldCharType="end"/>
      </w:r>
    </w:p>
    <w:p w14:paraId="05757616">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"_Toc221528697" </w:instrText>
      </w:r>
      <w:r>
        <w:fldChar w:fldCharType="separate"/>
      </w:r>
      <w:r>
        <w:rPr>
          <w:rStyle w:val="41"/>
        </w:rPr>
        <w:t>7.3  预警功能验收</w:t>
      </w:r>
      <w:r>
        <w:tab/>
      </w:r>
      <w:r>
        <w:fldChar w:fldCharType="begin"/>
      </w:r>
      <w:r>
        <w:instrText xml:space="preserve"> PAGEREF _Toc221528697 \h </w:instrText>
      </w:r>
      <w:r>
        <w:fldChar w:fldCharType="separate"/>
      </w:r>
      <w:r>
        <w:t>19</w:t>
      </w:r>
      <w:r>
        <w:fldChar w:fldCharType="end"/>
      </w:r>
      <w:r>
        <w:fldChar w:fldCharType="end"/>
      </w:r>
    </w:p>
    <w:p w14:paraId="063FD6CE">
      <w:pPr>
        <w:pStyle w:val="24"/>
        <w:tabs>
          <w:tab w:val="right" w:leader="dot" w:pos="8494"/>
        </w:tabs>
        <w:rPr>
          <w:rFonts w:asciiTheme="minorHAnsi" w:hAnsiTheme="minorHAnsi" w:eastAsiaTheme="minorEastAsia" w:cstheme="minorBidi"/>
          <w:sz w:val="22"/>
          <w:szCs w:val="24"/>
          <w14:ligatures w14:val="standardContextual"/>
        </w:rPr>
      </w:pPr>
      <w:r>
        <w:fldChar w:fldCharType="begin"/>
      </w:r>
      <w:r>
        <w:instrText xml:space="preserve"> HYPERLINK \l "_Toc221528698" </w:instrText>
      </w:r>
      <w:r>
        <w:fldChar w:fldCharType="separate"/>
      </w:r>
      <w:r>
        <w:rPr>
          <w:rStyle w:val="41"/>
        </w:rPr>
        <w:t>8  监测应用</w:t>
      </w:r>
      <w:r>
        <w:tab/>
      </w:r>
      <w:r>
        <w:fldChar w:fldCharType="begin"/>
      </w:r>
      <w:r>
        <w:instrText xml:space="preserve"> PAGEREF _Toc221528698 \h </w:instrText>
      </w:r>
      <w:r>
        <w:fldChar w:fldCharType="separate"/>
      </w:r>
      <w:r>
        <w:t>21</w:t>
      </w:r>
      <w:r>
        <w:fldChar w:fldCharType="end"/>
      </w:r>
      <w:r>
        <w:fldChar w:fldCharType="end"/>
      </w:r>
    </w:p>
    <w:p w14:paraId="5A2041C6">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"_Toc221528699" </w:instrText>
      </w:r>
      <w:r>
        <w:fldChar w:fldCharType="separate"/>
      </w:r>
      <w:r>
        <w:rPr>
          <w:rStyle w:val="41"/>
        </w:rPr>
        <w:t>8.1  一般规定</w:t>
      </w:r>
      <w:r>
        <w:tab/>
      </w:r>
      <w:r>
        <w:fldChar w:fldCharType="begin"/>
      </w:r>
      <w:r>
        <w:instrText xml:space="preserve"> PAGEREF _Toc221528699 \h </w:instrText>
      </w:r>
      <w:r>
        <w:fldChar w:fldCharType="separate"/>
      </w:r>
      <w:r>
        <w:t>21</w:t>
      </w:r>
      <w:r>
        <w:fldChar w:fldCharType="end"/>
      </w:r>
      <w:r>
        <w:fldChar w:fldCharType="end"/>
      </w:r>
    </w:p>
    <w:p w14:paraId="228837D3">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"_Toc221528700" </w:instrText>
      </w:r>
      <w:r>
        <w:fldChar w:fldCharType="separate"/>
      </w:r>
      <w:r>
        <w:rPr>
          <w:rStyle w:val="41"/>
        </w:rPr>
        <w:t>8.2  监测数据分析</w:t>
      </w:r>
      <w:r>
        <w:tab/>
      </w:r>
      <w:r>
        <w:fldChar w:fldCharType="begin"/>
      </w:r>
      <w:r>
        <w:instrText xml:space="preserve"> PAGEREF _Toc221528700 \h </w:instrText>
      </w:r>
      <w:r>
        <w:fldChar w:fldCharType="separate"/>
      </w:r>
      <w:r>
        <w:t>21</w:t>
      </w:r>
      <w:r>
        <w:fldChar w:fldCharType="end"/>
      </w:r>
      <w:r>
        <w:fldChar w:fldCharType="end"/>
      </w:r>
    </w:p>
    <w:p w14:paraId="5ED26CE5">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"_Toc221528701" </w:instrText>
      </w:r>
      <w:r>
        <w:fldChar w:fldCharType="separate"/>
      </w:r>
      <w:r>
        <w:rPr>
          <w:rStyle w:val="41"/>
        </w:rPr>
        <w:t>8.3  撞后结构状态评估</w:t>
      </w:r>
      <w:r>
        <w:tab/>
      </w:r>
      <w:r>
        <w:fldChar w:fldCharType="begin"/>
      </w:r>
      <w:r>
        <w:instrText xml:space="preserve"> PAGEREF _Toc221528701 \h </w:instrText>
      </w:r>
      <w:r>
        <w:fldChar w:fldCharType="separate"/>
      </w:r>
      <w:r>
        <w:t>21</w:t>
      </w:r>
      <w:r>
        <w:fldChar w:fldCharType="end"/>
      </w:r>
      <w:r>
        <w:fldChar w:fldCharType="end"/>
      </w:r>
    </w:p>
    <w:p w14:paraId="49A885D3">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"_Toc221528702" </w:instrText>
      </w:r>
      <w:r>
        <w:fldChar w:fldCharType="separate"/>
      </w:r>
      <w:r>
        <w:rPr>
          <w:rStyle w:val="41"/>
        </w:rPr>
        <w:t>8.4  撞后应急措施</w:t>
      </w:r>
      <w:r>
        <w:tab/>
      </w:r>
      <w:r>
        <w:fldChar w:fldCharType="begin"/>
      </w:r>
      <w:r>
        <w:instrText xml:space="preserve"> PAGEREF _Toc221528702 \h </w:instrText>
      </w:r>
      <w:r>
        <w:fldChar w:fldCharType="separate"/>
      </w:r>
      <w:r>
        <w:t>22</w:t>
      </w:r>
      <w:r>
        <w:fldChar w:fldCharType="end"/>
      </w:r>
      <w:r>
        <w:fldChar w:fldCharType="end"/>
      </w:r>
    </w:p>
    <w:p w14:paraId="6122DA6C">
      <w:pPr>
        <w:pStyle w:val="24"/>
        <w:tabs>
          <w:tab w:val="right" w:leader="dot" w:pos="8494"/>
        </w:tabs>
        <w:rPr>
          <w:rFonts w:asciiTheme="minorHAnsi" w:hAnsiTheme="minorHAnsi" w:eastAsiaTheme="minorEastAsia" w:cstheme="minorBidi"/>
          <w:sz w:val="22"/>
          <w:szCs w:val="24"/>
          <w14:ligatures w14:val="standardContextual"/>
        </w:rPr>
      </w:pPr>
      <w:r>
        <w:fldChar w:fldCharType="begin"/>
      </w:r>
      <w:r>
        <w:instrText xml:space="preserve"> HYPERLINK \l "_Toc221528703" </w:instrText>
      </w:r>
      <w:r>
        <w:fldChar w:fldCharType="separate"/>
      </w:r>
      <w:r>
        <w:rPr>
          <w:rStyle w:val="41"/>
        </w:rPr>
        <w:t>9  监测系统运维</w:t>
      </w:r>
      <w:r>
        <w:tab/>
      </w:r>
      <w:r>
        <w:fldChar w:fldCharType="begin"/>
      </w:r>
      <w:r>
        <w:instrText xml:space="preserve"> PAGEREF _Toc221528703 \h </w:instrText>
      </w:r>
      <w:r>
        <w:fldChar w:fldCharType="separate"/>
      </w:r>
      <w:r>
        <w:t>24</w:t>
      </w:r>
      <w:r>
        <w:fldChar w:fldCharType="end"/>
      </w:r>
      <w:r>
        <w:fldChar w:fldCharType="end"/>
      </w:r>
    </w:p>
    <w:p w14:paraId="11225B39">
      <w:pPr>
        <w:pStyle w:val="24"/>
        <w:tabs>
          <w:tab w:val="right" w:leader="dot" w:pos="8494"/>
        </w:tabs>
        <w:rPr>
          <w:rFonts w:asciiTheme="minorHAnsi" w:hAnsiTheme="minorHAnsi" w:eastAsiaTheme="minorEastAsia" w:cstheme="minorBidi"/>
          <w:sz w:val="22"/>
          <w:szCs w:val="24"/>
          <w14:ligatures w14:val="standardContextual"/>
        </w:rPr>
      </w:pPr>
      <w:r>
        <w:fldChar w:fldCharType="begin"/>
      </w:r>
      <w:r>
        <w:instrText xml:space="preserve"> HYPERLINK \l "_Toc221528704" </w:instrText>
      </w:r>
      <w:r>
        <w:fldChar w:fldCharType="separate"/>
      </w:r>
      <w:r>
        <w:rPr>
          <w:rStyle w:val="41"/>
        </w:rPr>
        <w:t>附录A （资料性） 测点布设示意图</w:t>
      </w:r>
      <w:r>
        <w:tab/>
      </w:r>
      <w:r>
        <w:fldChar w:fldCharType="begin"/>
      </w:r>
      <w:r>
        <w:instrText xml:space="preserve"> PAGEREF _Toc221528704 \h </w:instrText>
      </w:r>
      <w:r>
        <w:fldChar w:fldCharType="separate"/>
      </w:r>
      <w:r>
        <w:t>25</w:t>
      </w:r>
      <w:r>
        <w:fldChar w:fldCharType="end"/>
      </w:r>
      <w:r>
        <w:fldChar w:fldCharType="end"/>
      </w:r>
    </w:p>
    <w:p w14:paraId="6E124217">
      <w:pPr>
        <w:pStyle w:val="24"/>
        <w:tabs>
          <w:tab w:val="right" w:leader="dot" w:pos="8494"/>
        </w:tabs>
        <w:rPr>
          <w:rFonts w:asciiTheme="minorHAnsi" w:hAnsiTheme="minorHAnsi" w:eastAsiaTheme="minorEastAsia" w:cstheme="minorBidi"/>
          <w:sz w:val="22"/>
          <w:szCs w:val="24"/>
          <w14:ligatures w14:val="standardContextual"/>
        </w:rPr>
      </w:pPr>
      <w:r>
        <w:fldChar w:fldCharType="begin"/>
      </w:r>
      <w:r>
        <w:instrText xml:space="preserve"> HYPERLINK \l "_Toc221528705" </w:instrText>
      </w:r>
      <w:r>
        <w:fldChar w:fldCharType="separate"/>
      </w:r>
      <w:r>
        <w:rPr>
          <w:rStyle w:val="41"/>
        </w:rPr>
        <w:t>附录B （资料性） 预警分区示意图</w:t>
      </w:r>
      <w:r>
        <w:tab/>
      </w:r>
      <w:r>
        <w:fldChar w:fldCharType="begin"/>
      </w:r>
      <w:r>
        <w:instrText xml:space="preserve"> PAGEREF _Toc221528705 \h </w:instrText>
      </w:r>
      <w:r>
        <w:fldChar w:fldCharType="separate"/>
      </w:r>
      <w:r>
        <w:t>30</w:t>
      </w:r>
      <w:r>
        <w:fldChar w:fldCharType="end"/>
      </w:r>
      <w:r>
        <w:fldChar w:fldCharType="end"/>
      </w:r>
    </w:p>
    <w:p w14:paraId="4D7E68E3">
      <w:pPr>
        <w:pStyle w:val="24"/>
        <w:tabs>
          <w:tab w:val="right" w:leader="dot" w:pos="8494"/>
        </w:tabs>
        <w:rPr>
          <w:rFonts w:asciiTheme="minorHAnsi" w:hAnsiTheme="minorHAnsi" w:eastAsiaTheme="minorEastAsia" w:cstheme="minorBidi"/>
          <w:sz w:val="22"/>
          <w:szCs w:val="24"/>
          <w14:ligatures w14:val="standardContextual"/>
        </w:rPr>
      </w:pPr>
      <w:r>
        <w:fldChar w:fldCharType="begin"/>
      </w:r>
      <w:r>
        <w:instrText xml:space="preserve"> HYPERLINK \l "_Toc221528706" </w:instrText>
      </w:r>
      <w:r>
        <w:fldChar w:fldCharType="separate"/>
      </w:r>
      <w:r>
        <w:rPr>
          <w:rStyle w:val="41"/>
        </w:rPr>
        <w:t>附录C （规范性） 监测数据表示形式常用表</w:t>
      </w:r>
      <w:r>
        <w:tab/>
      </w:r>
      <w:r>
        <w:fldChar w:fldCharType="begin"/>
      </w:r>
      <w:r>
        <w:instrText xml:space="preserve"> PAGEREF _Toc221528706 \h </w:instrText>
      </w:r>
      <w:r>
        <w:fldChar w:fldCharType="separate"/>
      </w:r>
      <w:r>
        <w:t>33</w:t>
      </w:r>
      <w:r>
        <w:fldChar w:fldCharType="end"/>
      </w:r>
      <w:r>
        <w:fldChar w:fldCharType="end"/>
      </w:r>
    </w:p>
    <w:p w14:paraId="058AA21D">
      <w:pPr>
        <w:pStyle w:val="24"/>
        <w:tabs>
          <w:tab w:val="right" w:leader="dot" w:pos="8494"/>
        </w:tabs>
        <w:rPr>
          <w:rFonts w:asciiTheme="minorHAnsi" w:hAnsiTheme="minorHAnsi" w:eastAsiaTheme="minorEastAsia" w:cstheme="minorBidi"/>
          <w:sz w:val="22"/>
          <w:szCs w:val="24"/>
          <w14:ligatures w14:val="standardContextual"/>
        </w:rPr>
      </w:pPr>
      <w:r>
        <w:fldChar w:fldCharType="begin"/>
      </w:r>
      <w:r>
        <w:instrText xml:space="preserve"> HYPERLINK \l "_Toc221528707" </w:instrText>
      </w:r>
      <w:r>
        <w:fldChar w:fldCharType="separate"/>
      </w:r>
      <w:r>
        <w:rPr>
          <w:rStyle w:val="41"/>
        </w:rPr>
        <w:t>附录D （规范性） 防船撞安全距离</w:t>
      </w:r>
      <w:r>
        <w:tab/>
      </w:r>
      <w:r>
        <w:fldChar w:fldCharType="begin"/>
      </w:r>
      <w:r>
        <w:instrText xml:space="preserve"> PAGEREF _Toc221528707 \h </w:instrText>
      </w:r>
      <w:r>
        <w:fldChar w:fldCharType="separate"/>
      </w:r>
      <w:r>
        <w:t>35</w:t>
      </w:r>
      <w:r>
        <w:fldChar w:fldCharType="end"/>
      </w:r>
      <w:r>
        <w:fldChar w:fldCharType="end"/>
      </w:r>
    </w:p>
    <w:p w14:paraId="3279D740">
      <w:pPr>
        <w:pStyle w:val="24"/>
        <w:tabs>
          <w:tab w:val="right" w:leader="dot" w:pos="8494"/>
        </w:tabs>
        <w:rPr>
          <w:rFonts w:asciiTheme="minorHAnsi" w:hAnsiTheme="minorHAnsi" w:eastAsiaTheme="minorEastAsia" w:cstheme="minorBidi"/>
          <w:sz w:val="22"/>
          <w:szCs w:val="24"/>
          <w14:ligatures w14:val="standardContextual"/>
        </w:rPr>
      </w:pPr>
      <w:r>
        <w:fldChar w:fldCharType="begin"/>
      </w:r>
      <w:r>
        <w:instrText xml:space="preserve"> HYPERLINK \l "_Toc221528708" </w:instrText>
      </w:r>
      <w:r>
        <w:fldChar w:fldCharType="separate"/>
      </w:r>
      <w:r>
        <w:rPr>
          <w:rStyle w:val="41"/>
        </w:rPr>
        <w:t>附录E （资料性） 预警信息发布示例</w:t>
      </w:r>
      <w:r>
        <w:tab/>
      </w:r>
      <w:r>
        <w:fldChar w:fldCharType="begin"/>
      </w:r>
      <w:r>
        <w:instrText xml:space="preserve"> PAGEREF _Toc221528708 \h </w:instrText>
      </w:r>
      <w:r>
        <w:fldChar w:fldCharType="separate"/>
      </w:r>
      <w:r>
        <w:t>37</w:t>
      </w:r>
      <w:r>
        <w:fldChar w:fldCharType="end"/>
      </w:r>
      <w:r>
        <w:fldChar w:fldCharType="end"/>
      </w:r>
    </w:p>
    <w:p w14:paraId="07438C3E">
      <w:pPr>
        <w:pStyle w:val="24"/>
        <w:tabs>
          <w:tab w:val="right" w:leader="dot" w:pos="8494"/>
        </w:tabs>
        <w:rPr>
          <w:rFonts w:asciiTheme="minorHAnsi" w:hAnsiTheme="minorHAnsi" w:eastAsiaTheme="minorEastAsia" w:cstheme="minorBidi"/>
          <w:sz w:val="22"/>
          <w:szCs w:val="24"/>
          <w14:ligatures w14:val="standardContextual"/>
        </w:rPr>
      </w:pPr>
      <w:r>
        <w:fldChar w:fldCharType="begin"/>
      </w:r>
      <w:r>
        <w:instrText xml:space="preserve"> HYPERLINK \l "_Toc221528709" </w:instrText>
      </w:r>
      <w:r>
        <w:fldChar w:fldCharType="separate"/>
      </w:r>
      <w:r>
        <w:rPr>
          <w:rStyle w:val="41"/>
        </w:rPr>
        <w:t>本标准用词说明</w:t>
      </w:r>
      <w:r>
        <w:tab/>
      </w:r>
      <w:r>
        <w:fldChar w:fldCharType="begin"/>
      </w:r>
      <w:r>
        <w:instrText xml:space="preserve"> PAGEREF _Toc221528709 \h </w:instrText>
      </w:r>
      <w:r>
        <w:fldChar w:fldCharType="separate"/>
      </w:r>
      <w:r>
        <w:t>39</w:t>
      </w:r>
      <w:r>
        <w:fldChar w:fldCharType="end"/>
      </w:r>
      <w:r>
        <w:fldChar w:fldCharType="end"/>
      </w:r>
    </w:p>
    <w:p w14:paraId="4567DFC5">
      <w:pPr>
        <w:pStyle w:val="24"/>
        <w:tabs>
          <w:tab w:val="right" w:leader="dot" w:pos="8494"/>
        </w:tabs>
        <w:rPr>
          <w:rFonts w:asciiTheme="minorHAnsi" w:hAnsiTheme="minorHAnsi" w:eastAsiaTheme="minorEastAsia" w:cstheme="minorBidi"/>
          <w:sz w:val="22"/>
          <w:szCs w:val="24"/>
          <w14:ligatures w14:val="standardContextual"/>
        </w:rPr>
      </w:pPr>
      <w:r>
        <w:fldChar w:fldCharType="begin"/>
      </w:r>
      <w:r>
        <w:instrText xml:space="preserve"> HYPERLINK \l "_Toc221528710" </w:instrText>
      </w:r>
      <w:r>
        <w:fldChar w:fldCharType="separate"/>
      </w:r>
      <w:r>
        <w:rPr>
          <w:rStyle w:val="41"/>
        </w:rPr>
        <w:t>条 文 说 明</w:t>
      </w:r>
      <w:r>
        <w:tab/>
      </w:r>
      <w:r>
        <w:fldChar w:fldCharType="begin"/>
      </w:r>
      <w:r>
        <w:instrText xml:space="preserve"> PAGEREF _Toc221528710 \h </w:instrText>
      </w:r>
      <w:r>
        <w:fldChar w:fldCharType="separate"/>
      </w:r>
      <w:r>
        <w:t>40</w:t>
      </w:r>
      <w:r>
        <w:fldChar w:fldCharType="end"/>
      </w:r>
      <w:r>
        <w:fldChar w:fldCharType="end"/>
      </w:r>
    </w:p>
    <w:p w14:paraId="61E72E6F">
      <w:pPr>
        <w:pStyle w:val="24"/>
        <w:tabs>
          <w:tab w:val="right" w:leader="dot" w:pos="8494"/>
        </w:tabs>
        <w:rPr>
          <w:color w:val="0000FF"/>
          <w:u w:val="single"/>
        </w:rPr>
      </w:pPr>
      <w:r>
        <w:rPr>
          <w:color w:val="000000"/>
          <w:sz w:val="24"/>
        </w:rPr>
        <w:fldChar w:fldCharType="end"/>
      </w:r>
    </w:p>
    <w:p w14:paraId="6D27D75F">
      <w:pPr>
        <w:rPr>
          <w:rFonts w:ascii="宋体" w:hAnsi="宋体"/>
          <w:sz w:val="24"/>
        </w:rPr>
        <w:sectPr>
          <w:headerReference r:id="rId9" w:type="default"/>
          <w:footerReference r:id="rId11" w:type="default"/>
          <w:headerReference r:id="rId10" w:type="even"/>
          <w:footerReference r:id="rId12" w:type="even"/>
          <w:pgSz w:w="11906" w:h="16838"/>
          <w:pgMar w:top="1418" w:right="1701" w:bottom="1418" w:left="1701" w:header="851" w:footer="992" w:gutter="0"/>
          <w:pgNumType w:fmt="upperRoman"/>
          <w:cols w:space="425" w:num="1"/>
          <w:docGrid w:type="lines" w:linePitch="312" w:charSpace="0"/>
        </w:sectPr>
      </w:pPr>
    </w:p>
    <w:p w14:paraId="2C7E4BF4">
      <w:pPr>
        <w:pStyle w:val="49"/>
        <w:spacing w:before="312" w:beforeLines="100" w:after="312" w:afterLines="100" w:line="360" w:lineRule="auto"/>
        <w:jc w:val="center"/>
        <w:rPr>
          <w:rFonts w:ascii="Times New Roman" w:hAnsi="Times New Roman"/>
          <w:color w:val="000000"/>
          <w:lang w:eastAsia="zh-CN"/>
        </w:rPr>
      </w:pPr>
      <w:r>
        <w:rPr>
          <w:rFonts w:hint="eastAsia" w:ascii="Times New Roman"/>
          <w:color w:val="000000"/>
          <w:lang w:val="zh-CN" w:eastAsia="zh-CN"/>
        </w:rPr>
        <w:t>C</w:t>
      </w:r>
      <w:r>
        <w:rPr>
          <w:rFonts w:ascii="Times New Roman"/>
          <w:color w:val="000000"/>
          <w:lang w:val="zh-CN" w:eastAsia="zh-CN"/>
        </w:rPr>
        <w:t>ontents</w:t>
      </w:r>
    </w:p>
    <w:p w14:paraId="78CDAE7C">
      <w:pPr>
        <w:pStyle w:val="24"/>
        <w:tabs>
          <w:tab w:val="right" w:leader="dot" w:pos="8494"/>
        </w:tabs>
        <w:rPr>
          <w:rFonts w:asciiTheme="minorHAnsi" w:hAnsiTheme="minorHAnsi" w:eastAsiaTheme="minorEastAsia" w:cstheme="minorBidi"/>
          <w:sz w:val="22"/>
          <w:szCs w:val="24"/>
          <w14:ligatures w14:val="standardContextual"/>
        </w:rPr>
      </w:pPr>
      <w:r>
        <w:rPr>
          <w:color w:val="000000"/>
          <w:sz w:val="24"/>
          <w:szCs w:val="24"/>
        </w:rPr>
        <w:fldChar w:fldCharType="begin"/>
      </w:r>
      <w:r>
        <w:rPr>
          <w:color w:val="000000"/>
          <w:sz w:val="24"/>
          <w:szCs w:val="24"/>
        </w:rPr>
        <w:instrText xml:space="preserve"> TOC \o "1-3" \h \z \u </w:instrText>
      </w:r>
      <w:r>
        <w:rPr>
          <w:color w:val="000000"/>
          <w:sz w:val="24"/>
          <w:szCs w:val="24"/>
        </w:rPr>
        <w:fldChar w:fldCharType="separate"/>
      </w:r>
      <w:r>
        <w:fldChar w:fldCharType="begin"/>
      </w:r>
      <w:r>
        <w:instrText xml:space="preserve"> HYPERLINK \l "_Toc221528743" </w:instrText>
      </w:r>
      <w:r>
        <w:fldChar w:fldCharType="separate"/>
      </w:r>
      <w:r>
        <w:rPr>
          <w:rStyle w:val="41"/>
        </w:rPr>
        <w:t>1  General provisions</w:t>
      </w:r>
      <w:r>
        <w:tab/>
      </w:r>
      <w:r>
        <w:fldChar w:fldCharType="begin"/>
      </w:r>
      <w:r>
        <w:instrText xml:space="preserve"> PAGEREF _Toc221528743 \h </w:instrText>
      </w:r>
      <w:r>
        <w:fldChar w:fldCharType="separate"/>
      </w:r>
      <w:r>
        <w:t>1</w:t>
      </w:r>
      <w:r>
        <w:fldChar w:fldCharType="end"/>
      </w:r>
      <w:r>
        <w:fldChar w:fldCharType="end"/>
      </w:r>
    </w:p>
    <w:p w14:paraId="05ABB620">
      <w:pPr>
        <w:pStyle w:val="24"/>
        <w:tabs>
          <w:tab w:val="right" w:leader="dot" w:pos="8494"/>
        </w:tabs>
        <w:rPr>
          <w:rFonts w:asciiTheme="minorHAnsi" w:hAnsiTheme="minorHAnsi" w:eastAsiaTheme="minorEastAsia" w:cstheme="minorBidi"/>
          <w:sz w:val="22"/>
          <w:szCs w:val="24"/>
          <w14:ligatures w14:val="standardContextual"/>
        </w:rPr>
      </w:pPr>
      <w:r>
        <w:fldChar w:fldCharType="begin"/>
      </w:r>
      <w:r>
        <w:instrText xml:space="preserve"> HYPERLINK \l "_Toc221528744" </w:instrText>
      </w:r>
      <w:r>
        <w:fldChar w:fldCharType="separate"/>
      </w:r>
      <w:r>
        <w:rPr>
          <w:rStyle w:val="41"/>
        </w:rPr>
        <w:t>2  Terms, symbols and reference standards</w:t>
      </w:r>
      <w:r>
        <w:tab/>
      </w:r>
      <w:r>
        <w:fldChar w:fldCharType="begin"/>
      </w:r>
      <w:r>
        <w:instrText xml:space="preserve"> PAGEREF _Toc221528744 \h </w:instrText>
      </w:r>
      <w:r>
        <w:fldChar w:fldCharType="separate"/>
      </w:r>
      <w:r>
        <w:t>2</w:t>
      </w:r>
      <w:r>
        <w:fldChar w:fldCharType="end"/>
      </w:r>
      <w:r>
        <w:fldChar w:fldCharType="end"/>
      </w:r>
    </w:p>
    <w:p w14:paraId="27768C78">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"_Toc221528745" </w:instrText>
      </w:r>
      <w:r>
        <w:fldChar w:fldCharType="separate"/>
      </w:r>
      <w:r>
        <w:rPr>
          <w:rStyle w:val="41"/>
        </w:rPr>
        <w:t>2.1  Terms</w:t>
      </w:r>
      <w:r>
        <w:tab/>
      </w:r>
      <w:r>
        <w:fldChar w:fldCharType="begin"/>
      </w:r>
      <w:r>
        <w:instrText xml:space="preserve"> PAGEREF _Toc221528745 \h </w:instrText>
      </w:r>
      <w:r>
        <w:fldChar w:fldCharType="separate"/>
      </w:r>
      <w:r>
        <w:t>2</w:t>
      </w:r>
      <w:r>
        <w:fldChar w:fldCharType="end"/>
      </w:r>
      <w:r>
        <w:fldChar w:fldCharType="end"/>
      </w:r>
    </w:p>
    <w:p w14:paraId="09F79CD5">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"_Toc221528746" </w:instrText>
      </w:r>
      <w:r>
        <w:fldChar w:fldCharType="separate"/>
      </w:r>
      <w:r>
        <w:rPr>
          <w:rStyle w:val="41"/>
        </w:rPr>
        <w:t>2.2  Symbols</w:t>
      </w:r>
      <w:r>
        <w:tab/>
      </w:r>
      <w:r>
        <w:fldChar w:fldCharType="begin"/>
      </w:r>
      <w:r>
        <w:instrText xml:space="preserve"> PAGEREF _Toc221528746 \h </w:instrText>
      </w:r>
      <w:r>
        <w:fldChar w:fldCharType="separate"/>
      </w:r>
      <w:r>
        <w:t>2</w:t>
      </w:r>
      <w:r>
        <w:fldChar w:fldCharType="end"/>
      </w:r>
      <w:r>
        <w:fldChar w:fldCharType="end"/>
      </w:r>
    </w:p>
    <w:p w14:paraId="7B48448F">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"_Toc221528747" </w:instrText>
      </w:r>
      <w:r>
        <w:fldChar w:fldCharType="separate"/>
      </w:r>
      <w:r>
        <w:rPr>
          <w:rStyle w:val="41"/>
        </w:rPr>
        <w:t>2.3  Reference Standards</w:t>
      </w:r>
      <w:r>
        <w:tab/>
      </w:r>
      <w:r>
        <w:fldChar w:fldCharType="begin"/>
      </w:r>
      <w:r>
        <w:instrText xml:space="preserve"> PAGEREF _Toc221528747 \h </w:instrText>
      </w:r>
      <w:r>
        <w:fldChar w:fldCharType="separate"/>
      </w:r>
      <w:r>
        <w:t>2</w:t>
      </w:r>
      <w:r>
        <w:fldChar w:fldCharType="end"/>
      </w:r>
      <w:r>
        <w:fldChar w:fldCharType="end"/>
      </w:r>
    </w:p>
    <w:p w14:paraId="1E7B1019">
      <w:pPr>
        <w:pStyle w:val="24"/>
        <w:tabs>
          <w:tab w:val="right" w:leader="dot" w:pos="8494"/>
        </w:tabs>
        <w:rPr>
          <w:rFonts w:asciiTheme="minorHAnsi" w:hAnsiTheme="minorHAnsi" w:eastAsiaTheme="minorEastAsia" w:cstheme="minorBidi"/>
          <w:sz w:val="22"/>
          <w:szCs w:val="24"/>
          <w14:ligatures w14:val="standardContextual"/>
        </w:rPr>
      </w:pPr>
      <w:r>
        <w:fldChar w:fldCharType="begin"/>
      </w:r>
      <w:r>
        <w:instrText xml:space="preserve"> HYPERLINK \l "_Toc221528748" </w:instrText>
      </w:r>
      <w:r>
        <w:fldChar w:fldCharType="separate"/>
      </w:r>
      <w:r>
        <w:rPr>
          <w:rStyle w:val="41"/>
        </w:rPr>
        <w:t>3  Basic requirements</w:t>
      </w:r>
      <w:r>
        <w:tab/>
      </w:r>
      <w:r>
        <w:fldChar w:fldCharType="begin"/>
      </w:r>
      <w:r>
        <w:instrText xml:space="preserve"> PAGEREF _Toc221528748 \h </w:instrText>
      </w:r>
      <w:r>
        <w:fldChar w:fldCharType="separate"/>
      </w:r>
      <w:r>
        <w:t>4</w:t>
      </w:r>
      <w:r>
        <w:fldChar w:fldCharType="end"/>
      </w:r>
      <w:r>
        <w:fldChar w:fldCharType="end"/>
      </w:r>
    </w:p>
    <w:p w14:paraId="72254328">
      <w:pPr>
        <w:pStyle w:val="24"/>
        <w:tabs>
          <w:tab w:val="right" w:leader="dot" w:pos="8494"/>
        </w:tabs>
        <w:rPr>
          <w:rFonts w:asciiTheme="minorHAnsi" w:hAnsiTheme="minorHAnsi" w:eastAsiaTheme="minorEastAsia" w:cstheme="minorBidi"/>
          <w:sz w:val="22"/>
          <w:szCs w:val="24"/>
          <w14:ligatures w14:val="standardContextual"/>
        </w:rPr>
      </w:pPr>
      <w:r>
        <w:fldChar w:fldCharType="begin"/>
      </w:r>
      <w:r>
        <w:instrText xml:space="preserve"> HYPERLINK \l "_Toc221528749" </w:instrText>
      </w:r>
      <w:r>
        <w:fldChar w:fldCharType="separate"/>
      </w:r>
      <w:r>
        <w:rPr>
          <w:rStyle w:val="41"/>
        </w:rPr>
        <w:t>4  Anti-vessel collision monitoring</w:t>
      </w:r>
      <w:r>
        <w:tab/>
      </w:r>
      <w:r>
        <w:fldChar w:fldCharType="begin"/>
      </w:r>
      <w:r>
        <w:instrText xml:space="preserve"> PAGEREF _Toc221528749 \h </w:instrText>
      </w:r>
      <w:r>
        <w:fldChar w:fldCharType="separate"/>
      </w:r>
      <w:r>
        <w:t>6</w:t>
      </w:r>
      <w:r>
        <w:fldChar w:fldCharType="end"/>
      </w:r>
      <w:r>
        <w:fldChar w:fldCharType="end"/>
      </w:r>
    </w:p>
    <w:p w14:paraId="1A8E3897">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"_Toc221528750" </w:instrText>
      </w:r>
      <w:r>
        <w:fldChar w:fldCharType="separate"/>
      </w:r>
      <w:r>
        <w:rPr>
          <w:rStyle w:val="41"/>
        </w:rPr>
        <w:t>4.1  Monitoring content</w:t>
      </w:r>
      <w:r>
        <w:tab/>
      </w:r>
      <w:r>
        <w:fldChar w:fldCharType="begin"/>
      </w:r>
      <w:r>
        <w:instrText xml:space="preserve"> PAGEREF _Toc221528750 \h </w:instrText>
      </w:r>
      <w:r>
        <w:fldChar w:fldCharType="separate"/>
      </w:r>
      <w:r>
        <w:t>6</w:t>
      </w:r>
      <w:r>
        <w:fldChar w:fldCharType="end"/>
      </w:r>
      <w:r>
        <w:fldChar w:fldCharType="end"/>
      </w:r>
    </w:p>
    <w:p w14:paraId="5D1DB16D">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"_Toc221528751" </w:instrText>
      </w:r>
      <w:r>
        <w:fldChar w:fldCharType="separate"/>
      </w:r>
      <w:r>
        <w:rPr>
          <w:rStyle w:val="41"/>
        </w:rPr>
        <w:t>4.2  Monitoring equipment</w:t>
      </w:r>
      <w:r>
        <w:tab/>
      </w:r>
      <w:r>
        <w:fldChar w:fldCharType="begin"/>
      </w:r>
      <w:r>
        <w:instrText xml:space="preserve"> PAGEREF _Toc221528751 \h </w:instrText>
      </w:r>
      <w:r>
        <w:fldChar w:fldCharType="separate"/>
      </w:r>
      <w:r>
        <w:t>7</w:t>
      </w:r>
      <w:r>
        <w:fldChar w:fldCharType="end"/>
      </w:r>
      <w:r>
        <w:fldChar w:fldCharType="end"/>
      </w:r>
    </w:p>
    <w:p w14:paraId="572C81C1">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"_Toc221528752" </w:instrText>
      </w:r>
      <w:r>
        <w:fldChar w:fldCharType="separate"/>
      </w:r>
      <w:r>
        <w:rPr>
          <w:rStyle w:val="41"/>
        </w:rPr>
        <w:t>4.3  Monitoring point arrangement</w:t>
      </w:r>
      <w:r>
        <w:tab/>
      </w:r>
      <w:r>
        <w:fldChar w:fldCharType="begin"/>
      </w:r>
      <w:r>
        <w:instrText xml:space="preserve"> PAGEREF _Toc221528752 \h </w:instrText>
      </w:r>
      <w:r>
        <w:fldChar w:fldCharType="separate"/>
      </w:r>
      <w:r>
        <w:t>8</w:t>
      </w:r>
      <w:r>
        <w:fldChar w:fldCharType="end"/>
      </w:r>
      <w:r>
        <w:fldChar w:fldCharType="end"/>
      </w:r>
    </w:p>
    <w:p w14:paraId="617ABD2D">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"_Toc221528753" </w:instrText>
      </w:r>
      <w:r>
        <w:fldChar w:fldCharType="separate"/>
      </w:r>
      <w:r>
        <w:rPr>
          <w:rStyle w:val="41"/>
        </w:rPr>
        <w:t>4.4  Monitoring system</w:t>
      </w:r>
      <w:r>
        <w:tab/>
      </w:r>
      <w:r>
        <w:fldChar w:fldCharType="begin"/>
      </w:r>
      <w:r>
        <w:instrText xml:space="preserve"> PAGEREF _Toc221528753 \h </w:instrText>
      </w:r>
      <w:r>
        <w:fldChar w:fldCharType="separate"/>
      </w:r>
      <w:r>
        <w:t>9</w:t>
      </w:r>
      <w:r>
        <w:fldChar w:fldCharType="end"/>
      </w:r>
      <w:r>
        <w:fldChar w:fldCharType="end"/>
      </w:r>
    </w:p>
    <w:p w14:paraId="3CB84F0D">
      <w:pPr>
        <w:pStyle w:val="24"/>
        <w:tabs>
          <w:tab w:val="right" w:leader="dot" w:pos="8494"/>
        </w:tabs>
        <w:rPr>
          <w:rFonts w:asciiTheme="minorHAnsi" w:hAnsiTheme="minorHAnsi" w:eastAsiaTheme="minorEastAsia" w:cstheme="minorBidi"/>
          <w:sz w:val="22"/>
          <w:szCs w:val="24"/>
          <w14:ligatures w14:val="standardContextual"/>
        </w:rPr>
      </w:pPr>
      <w:r>
        <w:fldChar w:fldCharType="begin"/>
      </w:r>
      <w:r>
        <w:instrText xml:space="preserve"> HYPERLINK \l "_Toc221528754" </w:instrText>
      </w:r>
      <w:r>
        <w:fldChar w:fldCharType="separate"/>
      </w:r>
      <w:r>
        <w:rPr>
          <w:rStyle w:val="41"/>
        </w:rPr>
        <w:t>5  Management of monitoring data</w:t>
      </w:r>
      <w:r>
        <w:tab/>
      </w:r>
      <w:r>
        <w:fldChar w:fldCharType="begin"/>
      </w:r>
      <w:r>
        <w:instrText xml:space="preserve"> PAGEREF _Toc221528754 \h </w:instrText>
      </w:r>
      <w:r>
        <w:fldChar w:fldCharType="separate"/>
      </w:r>
      <w:r>
        <w:t>11</w:t>
      </w:r>
      <w:r>
        <w:fldChar w:fldCharType="end"/>
      </w:r>
      <w:r>
        <w:fldChar w:fldCharType="end"/>
      </w:r>
    </w:p>
    <w:p w14:paraId="05BD6830">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"_Toc221528755" </w:instrText>
      </w:r>
      <w:r>
        <w:fldChar w:fldCharType="separate"/>
      </w:r>
      <w:r>
        <w:rPr>
          <w:rStyle w:val="41"/>
        </w:rPr>
        <w:t>5.1  General requirements</w:t>
      </w:r>
      <w:r>
        <w:tab/>
      </w:r>
      <w:r>
        <w:fldChar w:fldCharType="begin"/>
      </w:r>
      <w:r>
        <w:instrText xml:space="preserve"> PAGEREF _Toc221528755 \h </w:instrText>
      </w:r>
      <w:r>
        <w:fldChar w:fldCharType="separate"/>
      </w:r>
      <w:r>
        <w:t>11</w:t>
      </w:r>
      <w:r>
        <w:fldChar w:fldCharType="end"/>
      </w:r>
      <w:r>
        <w:fldChar w:fldCharType="end"/>
      </w:r>
    </w:p>
    <w:p w14:paraId="4E52B155">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"_Toc221528756" </w:instrText>
      </w:r>
      <w:r>
        <w:fldChar w:fldCharType="separate"/>
      </w:r>
      <w:r>
        <w:rPr>
          <w:rStyle w:val="41"/>
        </w:rPr>
        <w:t>5.2  Data acquisition</w:t>
      </w:r>
      <w:r>
        <w:tab/>
      </w:r>
      <w:r>
        <w:fldChar w:fldCharType="begin"/>
      </w:r>
      <w:r>
        <w:instrText xml:space="preserve"> PAGEREF _Toc221528756 \h </w:instrText>
      </w:r>
      <w:r>
        <w:fldChar w:fldCharType="separate"/>
      </w:r>
      <w:r>
        <w:t>11</w:t>
      </w:r>
      <w:r>
        <w:fldChar w:fldCharType="end"/>
      </w:r>
      <w:r>
        <w:fldChar w:fldCharType="end"/>
      </w:r>
    </w:p>
    <w:p w14:paraId="5569F70C">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"_Toc221528757" </w:instrText>
      </w:r>
      <w:r>
        <w:fldChar w:fldCharType="separate"/>
      </w:r>
      <w:r>
        <w:rPr>
          <w:rStyle w:val="41"/>
        </w:rPr>
        <w:t>5.3  Data encoding</w:t>
      </w:r>
      <w:r>
        <w:tab/>
      </w:r>
      <w:r>
        <w:fldChar w:fldCharType="begin"/>
      </w:r>
      <w:r>
        <w:instrText xml:space="preserve"> PAGEREF _Toc221528757 \h </w:instrText>
      </w:r>
      <w:r>
        <w:fldChar w:fldCharType="separate"/>
      </w:r>
      <w:r>
        <w:t>11</w:t>
      </w:r>
      <w:r>
        <w:fldChar w:fldCharType="end"/>
      </w:r>
      <w:r>
        <w:fldChar w:fldCharType="end"/>
      </w:r>
    </w:p>
    <w:p w14:paraId="5D377A26">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"_Toc221528758" </w:instrText>
      </w:r>
      <w:r>
        <w:fldChar w:fldCharType="separate"/>
      </w:r>
      <w:r>
        <w:rPr>
          <w:rStyle w:val="41"/>
        </w:rPr>
        <w:t>5.4  Data transmission</w:t>
      </w:r>
      <w:r>
        <w:tab/>
      </w:r>
      <w:r>
        <w:fldChar w:fldCharType="begin"/>
      </w:r>
      <w:r>
        <w:instrText xml:space="preserve"> PAGEREF _Toc221528758 \h </w:instrText>
      </w:r>
      <w:r>
        <w:fldChar w:fldCharType="separate"/>
      </w:r>
      <w:r>
        <w:t>12</w:t>
      </w:r>
      <w:r>
        <w:fldChar w:fldCharType="end"/>
      </w:r>
      <w:r>
        <w:fldChar w:fldCharType="end"/>
      </w:r>
    </w:p>
    <w:p w14:paraId="3455E822">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"_Toc221528759" </w:instrText>
      </w:r>
      <w:r>
        <w:fldChar w:fldCharType="separate"/>
      </w:r>
      <w:r>
        <w:rPr>
          <w:rStyle w:val="41"/>
        </w:rPr>
        <w:t>5.5  Data processing and analysis</w:t>
      </w:r>
      <w:r>
        <w:tab/>
      </w:r>
      <w:r>
        <w:fldChar w:fldCharType="begin"/>
      </w:r>
      <w:r>
        <w:instrText xml:space="preserve"> PAGEREF _Toc221528759 \h </w:instrText>
      </w:r>
      <w:r>
        <w:fldChar w:fldCharType="separate"/>
      </w:r>
      <w:r>
        <w:t>12</w:t>
      </w:r>
      <w:r>
        <w:fldChar w:fldCharType="end"/>
      </w:r>
      <w:r>
        <w:fldChar w:fldCharType="end"/>
      </w:r>
    </w:p>
    <w:p w14:paraId="5EB74282">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"_Toc221528760" </w:instrText>
      </w:r>
      <w:r>
        <w:fldChar w:fldCharType="separate"/>
      </w:r>
      <w:r>
        <w:rPr>
          <w:rStyle w:val="41"/>
        </w:rPr>
        <w:t>5.6  Data storage</w:t>
      </w:r>
      <w:r>
        <w:tab/>
      </w:r>
      <w:r>
        <w:fldChar w:fldCharType="begin"/>
      </w:r>
      <w:r>
        <w:instrText xml:space="preserve"> PAGEREF _Toc221528760 \h </w:instrText>
      </w:r>
      <w:r>
        <w:fldChar w:fldCharType="separate"/>
      </w:r>
      <w:r>
        <w:t>13</w:t>
      </w:r>
      <w:r>
        <w:fldChar w:fldCharType="end"/>
      </w:r>
      <w:r>
        <w:fldChar w:fldCharType="end"/>
      </w:r>
    </w:p>
    <w:p w14:paraId="377F4D1E">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"_Toc221528761" </w:instrText>
      </w:r>
      <w:r>
        <w:fldChar w:fldCharType="separate"/>
      </w:r>
      <w:r>
        <w:rPr>
          <w:rStyle w:val="41"/>
        </w:rPr>
        <w:t>5.7  Data interaction and security</w:t>
      </w:r>
      <w:r>
        <w:tab/>
      </w:r>
      <w:r>
        <w:fldChar w:fldCharType="begin"/>
      </w:r>
      <w:r>
        <w:instrText xml:space="preserve"> PAGEREF _Toc221528761 \h </w:instrText>
      </w:r>
      <w:r>
        <w:fldChar w:fldCharType="separate"/>
      </w:r>
      <w:r>
        <w:t>14</w:t>
      </w:r>
      <w:r>
        <w:fldChar w:fldCharType="end"/>
      </w:r>
      <w:r>
        <w:fldChar w:fldCharType="end"/>
      </w:r>
    </w:p>
    <w:p w14:paraId="29BE5436">
      <w:pPr>
        <w:pStyle w:val="24"/>
        <w:tabs>
          <w:tab w:val="right" w:leader="dot" w:pos="8494"/>
        </w:tabs>
        <w:rPr>
          <w:rFonts w:asciiTheme="minorHAnsi" w:hAnsiTheme="minorHAnsi" w:eastAsiaTheme="minorEastAsia" w:cstheme="minorBidi"/>
          <w:sz w:val="22"/>
          <w:szCs w:val="24"/>
          <w14:ligatures w14:val="standardContextual"/>
        </w:rPr>
      </w:pPr>
      <w:r>
        <w:fldChar w:fldCharType="begin"/>
      </w:r>
      <w:r>
        <w:instrText xml:space="preserve"> HYPERLINK \l "_Toc221528762" </w:instrText>
      </w:r>
      <w:r>
        <w:fldChar w:fldCharType="separate"/>
      </w:r>
      <w:r>
        <w:rPr>
          <w:rStyle w:val="41"/>
        </w:rPr>
        <w:t>6  Early warning zones and methods</w:t>
      </w:r>
      <w:r>
        <w:tab/>
      </w:r>
      <w:r>
        <w:fldChar w:fldCharType="begin"/>
      </w:r>
      <w:r>
        <w:instrText xml:space="preserve"> PAGEREF _Toc221528762 \h </w:instrText>
      </w:r>
      <w:r>
        <w:fldChar w:fldCharType="separate"/>
      </w:r>
      <w:r>
        <w:t>15</w:t>
      </w:r>
      <w:r>
        <w:fldChar w:fldCharType="end"/>
      </w:r>
      <w:r>
        <w:fldChar w:fldCharType="end"/>
      </w:r>
    </w:p>
    <w:p w14:paraId="05B16D11">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"_Toc221528763" </w:instrText>
      </w:r>
      <w:r>
        <w:fldChar w:fldCharType="separate"/>
      </w:r>
      <w:r>
        <w:rPr>
          <w:rStyle w:val="41"/>
        </w:rPr>
        <w:t>6.1  Early warning zones</w:t>
      </w:r>
      <w:r>
        <w:tab/>
      </w:r>
      <w:r>
        <w:fldChar w:fldCharType="begin"/>
      </w:r>
      <w:r>
        <w:instrText xml:space="preserve"> PAGEREF _Toc221528763 \h </w:instrText>
      </w:r>
      <w:r>
        <w:fldChar w:fldCharType="separate"/>
      </w:r>
      <w:r>
        <w:t>15</w:t>
      </w:r>
      <w:r>
        <w:fldChar w:fldCharType="end"/>
      </w:r>
      <w:r>
        <w:fldChar w:fldCharType="end"/>
      </w:r>
    </w:p>
    <w:p w14:paraId="02B1E9AA">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"_Toc221528764" </w:instrText>
      </w:r>
      <w:r>
        <w:fldChar w:fldCharType="separate"/>
      </w:r>
      <w:r>
        <w:rPr>
          <w:rStyle w:val="41"/>
        </w:rPr>
        <w:t>6.2  Early warning methods</w:t>
      </w:r>
      <w:r>
        <w:tab/>
      </w:r>
      <w:r>
        <w:fldChar w:fldCharType="begin"/>
      </w:r>
      <w:r>
        <w:instrText xml:space="preserve"> PAGEREF _Toc221528764 \h </w:instrText>
      </w:r>
      <w:r>
        <w:fldChar w:fldCharType="separate"/>
      </w:r>
      <w:r>
        <w:t>16</w:t>
      </w:r>
      <w:r>
        <w:fldChar w:fldCharType="end"/>
      </w:r>
      <w:r>
        <w:fldChar w:fldCharType="end"/>
      </w:r>
    </w:p>
    <w:p w14:paraId="7E5DD2FB">
      <w:pPr>
        <w:pStyle w:val="24"/>
        <w:tabs>
          <w:tab w:val="right" w:leader="dot" w:pos="8494"/>
        </w:tabs>
        <w:rPr>
          <w:rFonts w:asciiTheme="minorHAnsi" w:hAnsiTheme="minorHAnsi" w:eastAsiaTheme="minorEastAsia" w:cstheme="minorBidi"/>
          <w:sz w:val="22"/>
          <w:szCs w:val="24"/>
          <w14:ligatures w14:val="standardContextual"/>
        </w:rPr>
      </w:pPr>
      <w:r>
        <w:fldChar w:fldCharType="begin"/>
      </w:r>
      <w:r>
        <w:instrText xml:space="preserve"> HYPERLINK \l "_Toc221528765" </w:instrText>
      </w:r>
      <w:r>
        <w:fldChar w:fldCharType="separate"/>
      </w:r>
      <w:r>
        <w:rPr>
          <w:rStyle w:val="41"/>
        </w:rPr>
        <w:t>7  Monitoring system acceptance</w:t>
      </w:r>
      <w:r>
        <w:tab/>
      </w:r>
      <w:r>
        <w:fldChar w:fldCharType="begin"/>
      </w:r>
      <w:r>
        <w:instrText xml:space="preserve"> PAGEREF _Toc221528765 \h </w:instrText>
      </w:r>
      <w:r>
        <w:fldChar w:fldCharType="separate"/>
      </w:r>
      <w:r>
        <w:t>18</w:t>
      </w:r>
      <w:r>
        <w:fldChar w:fldCharType="end"/>
      </w:r>
      <w:r>
        <w:fldChar w:fldCharType="end"/>
      </w:r>
    </w:p>
    <w:p w14:paraId="7073D82D">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"_Toc221528766" </w:instrText>
      </w:r>
      <w:r>
        <w:fldChar w:fldCharType="separate"/>
      </w:r>
      <w:r>
        <w:rPr>
          <w:rStyle w:val="41"/>
        </w:rPr>
        <w:t>7.1  Hardware equipment acceptance</w:t>
      </w:r>
      <w:r>
        <w:tab/>
      </w:r>
      <w:r>
        <w:fldChar w:fldCharType="begin"/>
      </w:r>
      <w:r>
        <w:instrText xml:space="preserve"> PAGEREF _Toc221528766 \h </w:instrText>
      </w:r>
      <w:r>
        <w:fldChar w:fldCharType="separate"/>
      </w:r>
      <w:r>
        <w:t>18</w:t>
      </w:r>
      <w:r>
        <w:fldChar w:fldCharType="end"/>
      </w:r>
      <w:r>
        <w:fldChar w:fldCharType="end"/>
      </w:r>
    </w:p>
    <w:p w14:paraId="273923F8">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"_Toc221528767" </w:instrText>
      </w:r>
      <w:r>
        <w:fldChar w:fldCharType="separate"/>
      </w:r>
      <w:r>
        <w:rPr>
          <w:rStyle w:val="41"/>
        </w:rPr>
        <w:t>7.2  Monitoring function acceptance</w:t>
      </w:r>
      <w:r>
        <w:tab/>
      </w:r>
      <w:r>
        <w:fldChar w:fldCharType="begin"/>
      </w:r>
      <w:r>
        <w:instrText xml:space="preserve"> PAGEREF _Toc221528767 \h </w:instrText>
      </w:r>
      <w:r>
        <w:fldChar w:fldCharType="separate"/>
      </w:r>
      <w:r>
        <w:t>18</w:t>
      </w:r>
      <w:r>
        <w:fldChar w:fldCharType="end"/>
      </w:r>
      <w:r>
        <w:fldChar w:fldCharType="end"/>
      </w:r>
    </w:p>
    <w:p w14:paraId="5625B10B">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"_Toc221528768" </w:instrText>
      </w:r>
      <w:r>
        <w:fldChar w:fldCharType="separate"/>
      </w:r>
      <w:r>
        <w:rPr>
          <w:rStyle w:val="41"/>
        </w:rPr>
        <w:t>7.3  Early warning function acceptance</w:t>
      </w:r>
      <w:r>
        <w:tab/>
      </w:r>
      <w:r>
        <w:fldChar w:fldCharType="begin"/>
      </w:r>
      <w:r>
        <w:instrText xml:space="preserve"> PAGEREF _Toc221528768 \h </w:instrText>
      </w:r>
      <w:r>
        <w:fldChar w:fldCharType="separate"/>
      </w:r>
      <w:r>
        <w:t>19</w:t>
      </w:r>
      <w:r>
        <w:fldChar w:fldCharType="end"/>
      </w:r>
      <w:r>
        <w:fldChar w:fldCharType="end"/>
      </w:r>
    </w:p>
    <w:p w14:paraId="7F05C590">
      <w:pPr>
        <w:pStyle w:val="24"/>
        <w:tabs>
          <w:tab w:val="right" w:leader="dot" w:pos="8494"/>
        </w:tabs>
        <w:rPr>
          <w:rFonts w:asciiTheme="minorHAnsi" w:hAnsiTheme="minorHAnsi" w:eastAsiaTheme="minorEastAsia" w:cstheme="minorBidi"/>
          <w:sz w:val="22"/>
          <w:szCs w:val="24"/>
          <w14:ligatures w14:val="standardContextual"/>
        </w:rPr>
      </w:pPr>
      <w:r>
        <w:fldChar w:fldCharType="begin"/>
      </w:r>
      <w:r>
        <w:instrText xml:space="preserve"> HYPERLINK \l "_Toc221528769" </w:instrText>
      </w:r>
      <w:r>
        <w:fldChar w:fldCharType="separate"/>
      </w:r>
      <w:r>
        <w:rPr>
          <w:rStyle w:val="41"/>
        </w:rPr>
        <w:t>8  Monitoring applications</w:t>
      </w:r>
      <w:r>
        <w:tab/>
      </w:r>
      <w:r>
        <w:fldChar w:fldCharType="begin"/>
      </w:r>
      <w:r>
        <w:instrText xml:space="preserve"> PAGEREF _Toc221528769 \h </w:instrText>
      </w:r>
      <w:r>
        <w:fldChar w:fldCharType="separate"/>
      </w:r>
      <w:r>
        <w:t>21</w:t>
      </w:r>
      <w:r>
        <w:fldChar w:fldCharType="end"/>
      </w:r>
      <w:r>
        <w:fldChar w:fldCharType="end"/>
      </w:r>
    </w:p>
    <w:p w14:paraId="1B792BF6">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"_Toc221528770" </w:instrText>
      </w:r>
      <w:r>
        <w:fldChar w:fldCharType="separate"/>
      </w:r>
      <w:r>
        <w:rPr>
          <w:rStyle w:val="41"/>
        </w:rPr>
        <w:t>8.1  General requirements</w:t>
      </w:r>
      <w:r>
        <w:tab/>
      </w:r>
      <w:r>
        <w:fldChar w:fldCharType="begin"/>
      </w:r>
      <w:r>
        <w:instrText xml:space="preserve"> PAGEREF _Toc221528770 \h </w:instrText>
      </w:r>
      <w:r>
        <w:fldChar w:fldCharType="separate"/>
      </w:r>
      <w:r>
        <w:t>21</w:t>
      </w:r>
      <w:r>
        <w:fldChar w:fldCharType="end"/>
      </w:r>
      <w:r>
        <w:fldChar w:fldCharType="end"/>
      </w:r>
    </w:p>
    <w:p w14:paraId="12983F95">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"_Toc221528771" </w:instrText>
      </w:r>
      <w:r>
        <w:fldChar w:fldCharType="separate"/>
      </w:r>
      <w:r>
        <w:rPr>
          <w:rStyle w:val="41"/>
        </w:rPr>
        <w:t>8.2  Monitoring data analysis</w:t>
      </w:r>
      <w:r>
        <w:tab/>
      </w:r>
      <w:r>
        <w:fldChar w:fldCharType="begin"/>
      </w:r>
      <w:r>
        <w:instrText xml:space="preserve"> PAGEREF _Toc221528771 \h </w:instrText>
      </w:r>
      <w:r>
        <w:fldChar w:fldCharType="separate"/>
      </w:r>
      <w:r>
        <w:t>21</w:t>
      </w:r>
      <w:r>
        <w:fldChar w:fldCharType="end"/>
      </w:r>
      <w:r>
        <w:fldChar w:fldCharType="end"/>
      </w:r>
    </w:p>
    <w:p w14:paraId="75CBE7FB">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"_Toc221528772" </w:instrText>
      </w:r>
      <w:r>
        <w:fldChar w:fldCharType="separate"/>
      </w:r>
      <w:r>
        <w:rPr>
          <w:rStyle w:val="41"/>
        </w:rPr>
        <w:t>8.3  Post-collision structural condition assessment</w:t>
      </w:r>
      <w:r>
        <w:tab/>
      </w:r>
      <w:r>
        <w:fldChar w:fldCharType="begin"/>
      </w:r>
      <w:r>
        <w:instrText xml:space="preserve"> PAGEREF _Toc221528772 \h </w:instrText>
      </w:r>
      <w:r>
        <w:fldChar w:fldCharType="separate"/>
      </w:r>
      <w:r>
        <w:t>21</w:t>
      </w:r>
      <w:r>
        <w:fldChar w:fldCharType="end"/>
      </w:r>
      <w:r>
        <w:fldChar w:fldCharType="end"/>
      </w:r>
    </w:p>
    <w:p w14:paraId="2A8F7282">
      <w:pPr>
        <w:pStyle w:val="29"/>
        <w:tabs>
          <w:tab w:val="right" w:leader="dot" w:pos="8494"/>
        </w:tabs>
        <w:rPr>
          <w:rFonts w:asciiTheme="minorHAnsi" w:hAnsiTheme="minorHAnsi" w:eastAsiaTheme="minorEastAsia" w:cstheme="minorBidi"/>
          <w:sz w:val="22"/>
          <w:szCs w:val="24"/>
          <w:lang w:val="en-US" w:eastAsia="zh-CN"/>
          <w14:ligatures w14:val="standardContextual"/>
        </w:rPr>
      </w:pPr>
      <w:r>
        <w:fldChar w:fldCharType="begin"/>
      </w:r>
      <w:r>
        <w:instrText xml:space="preserve"> HYPERLINK \l "_Toc221528773" </w:instrText>
      </w:r>
      <w:r>
        <w:fldChar w:fldCharType="separate"/>
      </w:r>
      <w:r>
        <w:rPr>
          <w:rStyle w:val="41"/>
        </w:rPr>
        <w:t>8.4  Post-collision emergency measures</w:t>
      </w:r>
      <w:r>
        <w:tab/>
      </w:r>
      <w:r>
        <w:fldChar w:fldCharType="begin"/>
      </w:r>
      <w:r>
        <w:instrText xml:space="preserve"> PAGEREF _Toc221528773 \h </w:instrText>
      </w:r>
      <w:r>
        <w:fldChar w:fldCharType="separate"/>
      </w:r>
      <w:r>
        <w:t>22</w:t>
      </w:r>
      <w:r>
        <w:fldChar w:fldCharType="end"/>
      </w:r>
      <w:r>
        <w:fldChar w:fldCharType="end"/>
      </w:r>
    </w:p>
    <w:p w14:paraId="5C28B579">
      <w:pPr>
        <w:pStyle w:val="24"/>
        <w:tabs>
          <w:tab w:val="right" w:leader="dot" w:pos="8494"/>
        </w:tabs>
        <w:rPr>
          <w:rFonts w:asciiTheme="minorHAnsi" w:hAnsiTheme="minorHAnsi" w:eastAsiaTheme="minorEastAsia" w:cstheme="minorBidi"/>
          <w:sz w:val="22"/>
          <w:szCs w:val="24"/>
          <w14:ligatures w14:val="standardContextual"/>
        </w:rPr>
      </w:pPr>
      <w:r>
        <w:fldChar w:fldCharType="begin"/>
      </w:r>
      <w:r>
        <w:instrText xml:space="preserve"> HYPERLINK \l "_Toc221528774" </w:instrText>
      </w:r>
      <w:r>
        <w:fldChar w:fldCharType="separate"/>
      </w:r>
      <w:r>
        <w:rPr>
          <w:rStyle w:val="41"/>
        </w:rPr>
        <w:t>9  Monitoring system operation and maintenance</w:t>
      </w:r>
      <w:r>
        <w:tab/>
      </w:r>
      <w:r>
        <w:fldChar w:fldCharType="begin"/>
      </w:r>
      <w:r>
        <w:instrText xml:space="preserve"> PAGEREF _Toc221528774 \h </w:instrText>
      </w:r>
      <w:r>
        <w:fldChar w:fldCharType="separate"/>
      </w:r>
      <w:r>
        <w:t>24</w:t>
      </w:r>
      <w:r>
        <w:fldChar w:fldCharType="end"/>
      </w:r>
      <w:r>
        <w:fldChar w:fldCharType="end"/>
      </w:r>
    </w:p>
    <w:p w14:paraId="20C6D167">
      <w:pPr>
        <w:pStyle w:val="24"/>
        <w:tabs>
          <w:tab w:val="right" w:leader="dot" w:pos="8494"/>
        </w:tabs>
        <w:rPr>
          <w:rFonts w:asciiTheme="minorHAnsi" w:hAnsiTheme="minorHAnsi" w:eastAsiaTheme="minorEastAsia" w:cstheme="minorBidi"/>
          <w:sz w:val="22"/>
          <w:szCs w:val="24"/>
          <w14:ligatures w14:val="standardContextual"/>
        </w:rPr>
      </w:pPr>
      <w:r>
        <w:fldChar w:fldCharType="begin"/>
      </w:r>
      <w:r>
        <w:instrText xml:space="preserve"> HYPERLINK \l "_Toc221528775" </w:instrText>
      </w:r>
      <w:r>
        <w:fldChar w:fldCharType="separate"/>
      </w:r>
      <w:r>
        <w:rPr>
          <w:rStyle w:val="41"/>
        </w:rPr>
        <w:t>Appendix A (Informative) Schematic diagram of monitoring point layout</w:t>
      </w:r>
      <w:r>
        <w:tab/>
      </w:r>
      <w:r>
        <w:fldChar w:fldCharType="begin"/>
      </w:r>
      <w:r>
        <w:instrText xml:space="preserve"> PAGEREF _Toc221528775 \h </w:instrText>
      </w:r>
      <w:r>
        <w:fldChar w:fldCharType="separate"/>
      </w:r>
      <w:r>
        <w:t>25</w:t>
      </w:r>
      <w:r>
        <w:fldChar w:fldCharType="end"/>
      </w:r>
      <w:r>
        <w:fldChar w:fldCharType="end"/>
      </w:r>
    </w:p>
    <w:p w14:paraId="065C2C38">
      <w:pPr>
        <w:pStyle w:val="24"/>
        <w:tabs>
          <w:tab w:val="right" w:leader="dot" w:pos="8494"/>
        </w:tabs>
        <w:rPr>
          <w:rFonts w:asciiTheme="minorHAnsi" w:hAnsiTheme="minorHAnsi" w:eastAsiaTheme="minorEastAsia" w:cstheme="minorBidi"/>
          <w:sz w:val="22"/>
          <w:szCs w:val="24"/>
          <w14:ligatures w14:val="standardContextual"/>
        </w:rPr>
      </w:pPr>
      <w:r>
        <w:fldChar w:fldCharType="begin"/>
      </w:r>
      <w:r>
        <w:instrText xml:space="preserve"> HYPERLINK \l "_Toc221528776" </w:instrText>
      </w:r>
      <w:r>
        <w:fldChar w:fldCharType="separate"/>
      </w:r>
      <w:r>
        <w:rPr>
          <w:rStyle w:val="41"/>
        </w:rPr>
        <w:t>Appendix B (Informative) Schematic diagram of early warning zones</w:t>
      </w:r>
      <w:r>
        <w:tab/>
      </w:r>
      <w:r>
        <w:fldChar w:fldCharType="begin"/>
      </w:r>
      <w:r>
        <w:instrText xml:space="preserve"> PAGEREF _Toc221528776 \h </w:instrText>
      </w:r>
      <w:r>
        <w:fldChar w:fldCharType="separate"/>
      </w:r>
      <w:r>
        <w:t>30</w:t>
      </w:r>
      <w:r>
        <w:fldChar w:fldCharType="end"/>
      </w:r>
      <w:r>
        <w:fldChar w:fldCharType="end"/>
      </w:r>
    </w:p>
    <w:p w14:paraId="191924FB">
      <w:pPr>
        <w:pStyle w:val="24"/>
        <w:tabs>
          <w:tab w:val="right" w:leader="dot" w:pos="8494"/>
        </w:tabs>
        <w:rPr>
          <w:rFonts w:asciiTheme="minorHAnsi" w:hAnsiTheme="minorHAnsi" w:eastAsiaTheme="minorEastAsia" w:cstheme="minorBidi"/>
          <w:sz w:val="22"/>
          <w:szCs w:val="24"/>
          <w14:ligatures w14:val="standardContextual"/>
        </w:rPr>
      </w:pPr>
      <w:r>
        <w:fldChar w:fldCharType="begin"/>
      </w:r>
      <w:r>
        <w:instrText xml:space="preserve"> HYPERLINK \l "_Toc221528777" </w:instrText>
      </w:r>
      <w:r>
        <w:fldChar w:fldCharType="separate"/>
      </w:r>
      <w:r>
        <w:rPr>
          <w:rStyle w:val="41"/>
        </w:rPr>
        <w:t>Appendix C (Normative) Common forms of monitoring data representation</w:t>
      </w:r>
      <w:r>
        <w:tab/>
      </w:r>
      <w:r>
        <w:fldChar w:fldCharType="begin"/>
      </w:r>
      <w:r>
        <w:instrText xml:space="preserve"> PAGEREF _Toc221528777 \h </w:instrText>
      </w:r>
      <w:r>
        <w:fldChar w:fldCharType="separate"/>
      </w:r>
      <w:r>
        <w:t>33</w:t>
      </w:r>
      <w:r>
        <w:fldChar w:fldCharType="end"/>
      </w:r>
      <w:r>
        <w:fldChar w:fldCharType="end"/>
      </w:r>
    </w:p>
    <w:p w14:paraId="74AC7358">
      <w:pPr>
        <w:pStyle w:val="24"/>
        <w:tabs>
          <w:tab w:val="right" w:leader="dot" w:pos="8494"/>
        </w:tabs>
        <w:rPr>
          <w:rFonts w:asciiTheme="minorHAnsi" w:hAnsiTheme="minorHAnsi" w:eastAsiaTheme="minorEastAsia" w:cstheme="minorBidi"/>
          <w:sz w:val="22"/>
          <w:szCs w:val="24"/>
          <w14:ligatures w14:val="standardContextual"/>
        </w:rPr>
      </w:pPr>
      <w:r>
        <w:fldChar w:fldCharType="begin"/>
      </w:r>
      <w:r>
        <w:instrText xml:space="preserve"> HYPERLINK \l "_Toc221528778" </w:instrText>
      </w:r>
      <w:r>
        <w:fldChar w:fldCharType="separate"/>
      </w:r>
      <w:r>
        <w:rPr>
          <w:rStyle w:val="41"/>
        </w:rPr>
        <w:t>Appendix D (Normative) Anti-vessel collision safety distance</w:t>
      </w:r>
      <w:r>
        <w:tab/>
      </w:r>
      <w:r>
        <w:fldChar w:fldCharType="begin"/>
      </w:r>
      <w:r>
        <w:instrText xml:space="preserve"> PAGEREF _Toc221528778 \h </w:instrText>
      </w:r>
      <w:r>
        <w:fldChar w:fldCharType="separate"/>
      </w:r>
      <w:r>
        <w:t>35</w:t>
      </w:r>
      <w:r>
        <w:fldChar w:fldCharType="end"/>
      </w:r>
      <w:r>
        <w:fldChar w:fldCharType="end"/>
      </w:r>
    </w:p>
    <w:p w14:paraId="16D1DFB9">
      <w:pPr>
        <w:pStyle w:val="24"/>
        <w:tabs>
          <w:tab w:val="right" w:leader="dot" w:pos="8494"/>
        </w:tabs>
        <w:rPr>
          <w:rFonts w:asciiTheme="minorHAnsi" w:hAnsiTheme="minorHAnsi" w:eastAsiaTheme="minorEastAsia" w:cstheme="minorBidi"/>
          <w:sz w:val="22"/>
          <w:szCs w:val="24"/>
          <w14:ligatures w14:val="standardContextual"/>
        </w:rPr>
      </w:pPr>
      <w:r>
        <w:fldChar w:fldCharType="begin"/>
      </w:r>
      <w:r>
        <w:instrText xml:space="preserve"> HYPERLINK \l "_Toc221528779" </w:instrText>
      </w:r>
      <w:r>
        <w:fldChar w:fldCharType="separate"/>
      </w:r>
      <w:r>
        <w:rPr>
          <w:rStyle w:val="41"/>
        </w:rPr>
        <w:t>Appendix E (Informative) Example of Early Warning Information Release</w:t>
      </w:r>
      <w:r>
        <w:tab/>
      </w:r>
      <w:r>
        <w:fldChar w:fldCharType="begin"/>
      </w:r>
      <w:r>
        <w:instrText xml:space="preserve"> PAGEREF _Toc221528779 \h </w:instrText>
      </w:r>
      <w:r>
        <w:fldChar w:fldCharType="separate"/>
      </w:r>
      <w:r>
        <w:t>37</w:t>
      </w:r>
      <w:r>
        <w:fldChar w:fldCharType="end"/>
      </w:r>
      <w:r>
        <w:fldChar w:fldCharType="end"/>
      </w:r>
    </w:p>
    <w:p w14:paraId="0C806D4A">
      <w:pPr>
        <w:pStyle w:val="24"/>
        <w:tabs>
          <w:tab w:val="right" w:leader="dot" w:pos="8494"/>
        </w:tabs>
        <w:rPr>
          <w:rFonts w:asciiTheme="minorHAnsi" w:hAnsiTheme="minorHAnsi" w:eastAsiaTheme="minorEastAsia" w:cstheme="minorBidi"/>
          <w:sz w:val="22"/>
          <w:szCs w:val="24"/>
          <w14:ligatures w14:val="standardContextual"/>
        </w:rPr>
      </w:pPr>
      <w:r>
        <w:fldChar w:fldCharType="begin"/>
      </w:r>
      <w:r>
        <w:instrText xml:space="preserve"> HYPERLINK \l "_Toc221528780" </w:instrText>
      </w:r>
      <w:r>
        <w:fldChar w:fldCharType="separate"/>
      </w:r>
      <w:r>
        <w:rPr>
          <w:rStyle w:val="41"/>
        </w:rPr>
        <w:t>Explanation for wording in the specification</w:t>
      </w:r>
      <w:r>
        <w:tab/>
      </w:r>
      <w:r>
        <w:fldChar w:fldCharType="begin"/>
      </w:r>
      <w:r>
        <w:instrText xml:space="preserve"> PAGEREF _Toc221528780 \h </w:instrText>
      </w:r>
      <w:r>
        <w:fldChar w:fldCharType="separate"/>
      </w:r>
      <w:r>
        <w:t>39</w:t>
      </w:r>
      <w:r>
        <w:fldChar w:fldCharType="end"/>
      </w:r>
      <w:r>
        <w:fldChar w:fldCharType="end"/>
      </w:r>
    </w:p>
    <w:p w14:paraId="35ED6263">
      <w:pPr>
        <w:pStyle w:val="24"/>
        <w:tabs>
          <w:tab w:val="right" w:leader="dot" w:pos="8494"/>
        </w:tabs>
        <w:rPr>
          <w:rFonts w:asciiTheme="minorHAnsi" w:hAnsiTheme="minorHAnsi" w:eastAsiaTheme="minorEastAsia" w:cstheme="minorBidi"/>
          <w:sz w:val="22"/>
          <w:szCs w:val="24"/>
          <w14:ligatures w14:val="standardContextual"/>
        </w:rPr>
      </w:pPr>
      <w:r>
        <w:fldChar w:fldCharType="begin"/>
      </w:r>
      <w:r>
        <w:instrText xml:space="preserve"> HYPERLINK \l "_Toc221528781" </w:instrText>
      </w:r>
      <w:r>
        <w:fldChar w:fldCharType="separate"/>
      </w:r>
      <w:r>
        <w:rPr>
          <w:rStyle w:val="41"/>
        </w:rPr>
        <w:t>Explanation of provisions</w:t>
      </w:r>
      <w:r>
        <w:tab/>
      </w:r>
      <w:r>
        <w:fldChar w:fldCharType="begin"/>
      </w:r>
      <w:r>
        <w:instrText xml:space="preserve"> PAGEREF _Toc221528781 \h </w:instrText>
      </w:r>
      <w:r>
        <w:fldChar w:fldCharType="separate"/>
      </w:r>
      <w:r>
        <w:t>40</w:t>
      </w:r>
      <w:r>
        <w:fldChar w:fldCharType="end"/>
      </w:r>
      <w:r>
        <w:fldChar w:fldCharType="end"/>
      </w:r>
    </w:p>
    <w:p w14:paraId="65D18B78">
      <w:pPr>
        <w:spacing w:line="312" w:lineRule="auto"/>
        <w:rPr>
          <w:rStyle w:val="41"/>
          <w:b/>
          <w:color w:val="000000"/>
          <w:sz w:val="32"/>
          <w:szCs w:val="32"/>
          <w:u w:val="none"/>
        </w:rPr>
      </w:pPr>
      <w:r>
        <w:rPr>
          <w:bCs/>
          <w:color w:val="000000"/>
          <w:sz w:val="24"/>
          <w:lang w:val="zh-CN"/>
        </w:rPr>
        <w:fldChar w:fldCharType="end"/>
      </w:r>
    </w:p>
    <w:p w14:paraId="32E07268">
      <w:pPr>
        <w:rPr>
          <w:rStyle w:val="41"/>
          <w:color w:val="000000"/>
          <w:sz w:val="24"/>
          <w:u w:val="none"/>
        </w:rPr>
        <w:sectPr>
          <w:footerReference r:id="rId13" w:type="default"/>
          <w:footerReference r:id="rId14" w:type="even"/>
          <w:pgSz w:w="11906" w:h="16838"/>
          <w:pgMar w:top="1418" w:right="1701" w:bottom="1418" w:left="1701" w:header="851" w:footer="992" w:gutter="0"/>
          <w:pgNumType w:fmt="upperRoman"/>
          <w:cols w:space="425" w:num="1"/>
          <w:docGrid w:type="lines" w:linePitch="312" w:charSpace="0"/>
        </w:sectPr>
      </w:pPr>
    </w:p>
    <w:p w14:paraId="0A66B87D">
      <w:pPr>
        <w:pStyle w:val="158"/>
        <w:rPr>
          <w:lang w:eastAsia="zh-CN"/>
        </w:rPr>
      </w:pPr>
      <w:bookmarkStart w:id="0" w:name="_Toc221528672"/>
      <w:bookmarkStart w:id="1" w:name="_Toc435778383"/>
      <w:bookmarkStart w:id="2" w:name="_Toc221528743"/>
      <w:r>
        <w:t xml:space="preserve">1  </w:t>
      </w:r>
      <w:r>
        <w:rPr>
          <w:rFonts w:hint="eastAsia"/>
          <w:lang w:eastAsia="zh-CN"/>
        </w:rPr>
        <w:t>总  则</w:t>
      </w:r>
      <w:bookmarkEnd w:id="0"/>
      <w:bookmarkEnd w:id="1"/>
      <w:bookmarkEnd w:id="2"/>
    </w:p>
    <w:p w14:paraId="104154D3">
      <w:pPr>
        <w:pStyle w:val="161"/>
      </w:pPr>
      <w:bookmarkStart w:id="3" w:name="_Toc435778384"/>
      <w:r>
        <w:rPr>
          <w:rFonts w:hint="eastAsia"/>
          <w:b/>
          <w:bCs/>
        </w:rPr>
        <w:t>1.0.1</w:t>
      </w:r>
      <w:r>
        <w:rPr>
          <w:rFonts w:hint="eastAsia"/>
        </w:rPr>
        <w:t>　为贯彻落实国家关于交通运输安全发展与数字化转型的战略部署，防范船舶撞击风险，保障水上构筑物运营安全，提升通航安全水平和智能监测预警能力，促进水上交通高质量发展，制定本标准。</w:t>
      </w:r>
    </w:p>
    <w:p w14:paraId="67836E9C">
      <w:pPr>
        <w:pStyle w:val="161"/>
      </w:pPr>
      <w:r>
        <w:rPr>
          <w:rFonts w:hint="eastAsia"/>
          <w:b/>
          <w:bCs/>
        </w:rPr>
        <w:t>1.0.2</w:t>
      </w:r>
      <w:r>
        <w:rPr>
          <w:rFonts w:hint="eastAsia"/>
        </w:rPr>
        <w:t>　本标准适用于水上构筑物结构的防船撞监测系统设计、验收和运维。</w:t>
      </w:r>
    </w:p>
    <w:p w14:paraId="335F5538">
      <w:pPr>
        <w:pStyle w:val="161"/>
      </w:pPr>
      <w:r>
        <w:rPr>
          <w:rFonts w:hint="eastAsia"/>
          <w:b/>
          <w:bCs/>
        </w:rPr>
        <w:t>1.0.3</w:t>
      </w:r>
      <w:r>
        <w:rPr>
          <w:rFonts w:hint="eastAsia"/>
        </w:rPr>
        <w:t>　除应符合本标准规定外，尚应符合国家和行业现行有关标准的规定。</w:t>
      </w:r>
    </w:p>
    <w:p w14:paraId="078E9EA4">
      <w:pPr>
        <w:pStyle w:val="161"/>
      </w:pPr>
      <w:r>
        <w:br w:type="page"/>
      </w:r>
    </w:p>
    <w:bookmarkEnd w:id="3"/>
    <w:p w14:paraId="38374AF6">
      <w:pPr>
        <w:pStyle w:val="158"/>
        <w:rPr>
          <w:lang w:eastAsia="zh-CN"/>
        </w:rPr>
      </w:pPr>
      <w:bookmarkStart w:id="4" w:name="_Toc221528744"/>
      <w:bookmarkStart w:id="5" w:name="_Toc221528673"/>
      <w:r>
        <w:t xml:space="preserve">2  </w:t>
      </w:r>
      <w:r>
        <w:rPr>
          <w:rFonts w:hint="eastAsia"/>
          <w:lang w:eastAsia="zh-CN"/>
        </w:rPr>
        <w:t>术语、缩略语与参考标准</w:t>
      </w:r>
      <w:bookmarkEnd w:id="4"/>
      <w:bookmarkEnd w:id="5"/>
    </w:p>
    <w:p w14:paraId="15902DB5">
      <w:pPr>
        <w:pStyle w:val="159"/>
      </w:pPr>
      <w:bookmarkStart w:id="6" w:name="_Toc221528674"/>
      <w:bookmarkStart w:id="7" w:name="_Toc221528745"/>
      <w:r>
        <w:rPr>
          <w:rFonts w:hint="eastAsia"/>
        </w:rPr>
        <w:t>2.1  术  语</w:t>
      </w:r>
      <w:bookmarkEnd w:id="6"/>
      <w:bookmarkEnd w:id="7"/>
    </w:p>
    <w:p w14:paraId="3C513A7C">
      <w:pPr>
        <w:pStyle w:val="165"/>
        <w:rPr>
          <w:b/>
          <w:bCs/>
        </w:rPr>
      </w:pPr>
      <w:r>
        <w:rPr>
          <w:rFonts w:hint="eastAsia"/>
          <w:b/>
          <w:bCs/>
        </w:rPr>
        <w:t>2.1.1　</w:t>
      </w:r>
      <w:r>
        <w:rPr>
          <w:rFonts w:hint="eastAsia"/>
        </w:rPr>
        <w:t>水上构筑物 aquatic structure</w:t>
      </w:r>
    </w:p>
    <w:p w14:paraId="133D7799">
      <w:pPr>
        <w:pStyle w:val="164"/>
        <w:ind w:firstLineChars="200"/>
      </w:pPr>
      <w:r>
        <w:rPr>
          <w:rFonts w:hint="eastAsia"/>
        </w:rPr>
        <w:t>在通航水域上设置的永久性或临时性的、有固定位置的构筑物，包括桥梁、水上房屋、钻井平台、海上风电场、码头及其防船撞设施。</w:t>
      </w:r>
    </w:p>
    <w:p w14:paraId="07880BAA">
      <w:pPr>
        <w:pStyle w:val="165"/>
        <w:rPr>
          <w:b/>
          <w:bCs/>
        </w:rPr>
      </w:pPr>
      <w:r>
        <w:rPr>
          <w:rFonts w:hint="eastAsia"/>
          <w:b/>
          <w:bCs/>
        </w:rPr>
        <w:t>2.1.2　</w:t>
      </w:r>
      <w:r>
        <w:rPr>
          <w:rFonts w:hint="eastAsia"/>
        </w:rPr>
        <w:t>防船撞预警系统 active anti-vessel collision system</w:t>
      </w:r>
    </w:p>
    <w:p w14:paraId="09343EE5">
      <w:pPr>
        <w:pStyle w:val="164"/>
        <w:ind w:firstLineChars="200"/>
      </w:pPr>
      <w:r>
        <w:rPr>
          <w:rFonts w:hint="eastAsia"/>
        </w:rPr>
        <w:t>针对预防船舶碰撞水上构筑物而设计的具有感知、分析、判定，实现通航船舶实时监测和碰撞风险预警功能的系统。</w:t>
      </w:r>
    </w:p>
    <w:p w14:paraId="03B492C3">
      <w:pPr>
        <w:pStyle w:val="165"/>
        <w:rPr>
          <w:b/>
          <w:bCs/>
        </w:rPr>
      </w:pPr>
      <w:r>
        <w:rPr>
          <w:rFonts w:hint="eastAsia"/>
          <w:b/>
          <w:bCs/>
        </w:rPr>
        <w:t>2.1.3　</w:t>
      </w:r>
      <w:r>
        <w:rPr>
          <w:rFonts w:hint="eastAsia"/>
        </w:rPr>
        <w:t>防船撞安全距离 anti-vessel collision safety distance</w:t>
      </w:r>
    </w:p>
    <w:p w14:paraId="416EFB43">
      <w:pPr>
        <w:pStyle w:val="164"/>
        <w:ind w:firstLineChars="200"/>
      </w:pPr>
      <w:r>
        <w:rPr>
          <w:rFonts w:hint="eastAsia"/>
        </w:rPr>
        <w:t>为防止航行船舶撞击水上构筑物，船舶从开始进行制动操作到船舶停止或</w:t>
      </w:r>
      <w:r>
        <w:t>脱离碰撞风险</w:t>
      </w:r>
      <w:r>
        <w:rPr>
          <w:rFonts w:hint="eastAsia"/>
        </w:rPr>
        <w:t>所需要的最小制动距离。</w:t>
      </w:r>
    </w:p>
    <w:p w14:paraId="6B640C41">
      <w:pPr>
        <w:pStyle w:val="165"/>
        <w:rPr>
          <w:b/>
          <w:bCs/>
        </w:rPr>
      </w:pPr>
      <w:r>
        <w:rPr>
          <w:rFonts w:hint="eastAsia"/>
          <w:b/>
          <w:bCs/>
        </w:rPr>
        <w:t>2.1.4　</w:t>
      </w:r>
      <w:r>
        <w:rPr>
          <w:rFonts w:hint="eastAsia"/>
        </w:rPr>
        <w:t xml:space="preserve">预警分区 early </w:t>
      </w:r>
      <w:r>
        <w:t>warning</w:t>
      </w:r>
      <w:r>
        <w:rPr>
          <w:rFonts w:hint="eastAsia"/>
        </w:rPr>
        <w:t xml:space="preserve"> zone</w:t>
      </w:r>
    </w:p>
    <w:p w14:paraId="78370090">
      <w:pPr>
        <w:pStyle w:val="164"/>
        <w:ind w:firstLineChars="200"/>
      </w:pPr>
      <w:r>
        <w:rPr>
          <w:rFonts w:hint="eastAsia"/>
        </w:rPr>
        <w:t>基于船舶在不同区域内的船舶撞桥风险不同而划定的不同预警等级的分区。</w:t>
      </w:r>
    </w:p>
    <w:p w14:paraId="77E3EECC">
      <w:pPr>
        <w:pStyle w:val="159"/>
      </w:pPr>
      <w:bookmarkStart w:id="8" w:name="_Toc221528746"/>
      <w:bookmarkStart w:id="9" w:name="_Toc221528675"/>
      <w:r>
        <w:rPr>
          <w:rFonts w:hint="eastAsia"/>
        </w:rPr>
        <w:t>2.2  缩略语</w:t>
      </w:r>
      <w:bookmarkEnd w:id="8"/>
      <w:bookmarkEnd w:id="9"/>
    </w:p>
    <w:p w14:paraId="63AB7558">
      <w:pPr>
        <w:pStyle w:val="164"/>
        <w:ind w:firstLineChars="200"/>
      </w:pPr>
      <w:r>
        <w:rPr>
          <w:rFonts w:hint="eastAsia"/>
        </w:rPr>
        <w:t>AIS：船舶自动识别系统（Automatic Identification Systems）</w:t>
      </w:r>
    </w:p>
    <w:p w14:paraId="43C19DB1">
      <w:pPr>
        <w:pStyle w:val="164"/>
        <w:ind w:firstLineChars="200"/>
      </w:pPr>
      <w:r>
        <w:rPr>
          <w:rFonts w:hint="eastAsia"/>
        </w:rPr>
        <w:t>VHF：甚高频（Very High Frequency）</w:t>
      </w:r>
    </w:p>
    <w:p w14:paraId="75CB63BE">
      <w:pPr>
        <w:pStyle w:val="164"/>
        <w:ind w:firstLineChars="200"/>
      </w:pPr>
      <w:r>
        <w:rPr>
          <w:rFonts w:hint="eastAsia"/>
        </w:rPr>
        <w:t>GNSS：全球导航卫星系统（Global Navigation Satellite System）</w:t>
      </w:r>
    </w:p>
    <w:p w14:paraId="2BEE95C0">
      <w:pPr>
        <w:pStyle w:val="164"/>
        <w:ind w:firstLineChars="200"/>
      </w:pPr>
      <w:r>
        <w:rPr>
          <w:rFonts w:hint="eastAsia"/>
        </w:rPr>
        <w:t>GPS：全球定位系统（Global Position System）</w:t>
      </w:r>
    </w:p>
    <w:p w14:paraId="57C3B2F3">
      <w:pPr>
        <w:pStyle w:val="159"/>
      </w:pPr>
      <w:bookmarkStart w:id="10" w:name="_Toc221528676"/>
      <w:bookmarkStart w:id="11" w:name="_Toc221528747"/>
      <w:r>
        <w:rPr>
          <w:rFonts w:hint="eastAsia"/>
        </w:rPr>
        <w:t>2.3  参考标准</w:t>
      </w:r>
      <w:bookmarkEnd w:id="10"/>
      <w:bookmarkEnd w:id="11"/>
    </w:p>
    <w:p w14:paraId="05AFEC76">
      <w:pPr>
        <w:pStyle w:val="164"/>
        <w:numPr>
          <w:ilvl w:val="1"/>
          <w:numId w:val="1"/>
        </w:numPr>
      </w:pPr>
      <w:r>
        <w:rPr>
          <w:rFonts w:hint="eastAsia"/>
        </w:rPr>
        <w:t>《水位观测标准》GB/T 50138</w:t>
      </w:r>
    </w:p>
    <w:p w14:paraId="58F55902">
      <w:pPr>
        <w:pStyle w:val="164"/>
        <w:numPr>
          <w:ilvl w:val="1"/>
          <w:numId w:val="1"/>
        </w:numPr>
      </w:pPr>
      <w:r>
        <w:rPr>
          <w:rFonts w:hint="eastAsia"/>
        </w:rPr>
        <w:t>《综合布线系统工程设计规范》GB 50311</w:t>
      </w:r>
    </w:p>
    <w:p w14:paraId="08D9372B">
      <w:pPr>
        <w:pStyle w:val="164"/>
        <w:numPr>
          <w:ilvl w:val="1"/>
          <w:numId w:val="1"/>
        </w:numPr>
      </w:pPr>
      <w:r>
        <w:rPr>
          <w:rFonts w:hint="eastAsia"/>
        </w:rPr>
        <w:t>《建筑物电子信息系统防雷技术规范》GB 50343</w:t>
      </w:r>
    </w:p>
    <w:p w14:paraId="369CE4ED">
      <w:pPr>
        <w:pStyle w:val="164"/>
        <w:numPr>
          <w:ilvl w:val="1"/>
          <w:numId w:val="1"/>
        </w:numPr>
      </w:pPr>
      <w:r>
        <w:rPr>
          <w:rFonts w:hint="eastAsia"/>
        </w:rPr>
        <w:t>《安全防范工程技术标准》GB 50348</w:t>
      </w:r>
    </w:p>
    <w:p w14:paraId="353BF91D">
      <w:pPr>
        <w:pStyle w:val="164"/>
        <w:numPr>
          <w:ilvl w:val="1"/>
          <w:numId w:val="1"/>
        </w:numPr>
      </w:pPr>
      <w:r>
        <w:rPr>
          <w:rFonts w:hint="eastAsia"/>
        </w:rPr>
        <w:t>《海上风力发电场设计标准》GB/T 51308</w:t>
      </w:r>
    </w:p>
    <w:p w14:paraId="1C1D96E2">
      <w:pPr>
        <w:pStyle w:val="164"/>
        <w:numPr>
          <w:ilvl w:val="1"/>
          <w:numId w:val="1"/>
        </w:numPr>
      </w:pPr>
      <w:r>
        <w:rPr>
          <w:rFonts w:hint="eastAsia"/>
        </w:rPr>
        <w:t>《国际单位制及其应用》GB 3100</w:t>
      </w:r>
    </w:p>
    <w:p w14:paraId="36322502">
      <w:pPr>
        <w:pStyle w:val="164"/>
        <w:numPr>
          <w:ilvl w:val="1"/>
          <w:numId w:val="1"/>
        </w:numPr>
      </w:pPr>
      <w:r>
        <w:rPr>
          <w:rFonts w:hint="eastAsia"/>
        </w:rPr>
        <w:t>《外壳防护等级（IP代码）》GB/T 4208</w:t>
      </w:r>
    </w:p>
    <w:p w14:paraId="3CC28D73">
      <w:pPr>
        <w:pStyle w:val="164"/>
        <w:numPr>
          <w:ilvl w:val="1"/>
          <w:numId w:val="1"/>
        </w:numPr>
      </w:pPr>
      <w:r>
        <w:rPr>
          <w:rFonts w:hint="eastAsia"/>
        </w:rPr>
        <w:t>《海船声号器具的声压级测量》GB/T 12303</w:t>
      </w:r>
    </w:p>
    <w:p w14:paraId="0EB958CF">
      <w:pPr>
        <w:pStyle w:val="164"/>
        <w:numPr>
          <w:ilvl w:val="1"/>
          <w:numId w:val="1"/>
        </w:numPr>
      </w:pPr>
      <w:r>
        <w:rPr>
          <w:rFonts w:hint="eastAsia"/>
        </w:rPr>
        <w:t>《安全防范系统供电技术要求》GB/T 15408</w:t>
      </w:r>
    </w:p>
    <w:p w14:paraId="256CA7A4">
      <w:pPr>
        <w:pStyle w:val="164"/>
        <w:numPr>
          <w:ilvl w:val="1"/>
          <w:numId w:val="1"/>
        </w:numPr>
      </w:pPr>
      <w:r>
        <w:rPr>
          <w:rFonts w:hint="eastAsia"/>
        </w:rPr>
        <w:t>《计算机软件测试规范》GB/T 15532</w:t>
      </w:r>
    </w:p>
    <w:p w14:paraId="7790C37B">
      <w:pPr>
        <w:pStyle w:val="164"/>
        <w:numPr>
          <w:ilvl w:val="1"/>
          <w:numId w:val="1"/>
        </w:numPr>
      </w:pPr>
      <w:r>
        <w:rPr>
          <w:rFonts w:hint="eastAsia"/>
        </w:rPr>
        <w:t>《信息安全技术 网络安全等级保护基本要求》GB/T 22239</w:t>
      </w:r>
    </w:p>
    <w:p w14:paraId="07A82E10">
      <w:pPr>
        <w:pStyle w:val="164"/>
        <w:numPr>
          <w:ilvl w:val="1"/>
          <w:numId w:val="1"/>
        </w:numPr>
      </w:pPr>
      <w:r>
        <w:rPr>
          <w:rFonts w:hint="eastAsia"/>
        </w:rPr>
        <w:t>《高速公路LED可变信息标志》GB/T 23828</w:t>
      </w:r>
    </w:p>
    <w:p w14:paraId="19FB42FF">
      <w:pPr>
        <w:pStyle w:val="164"/>
        <w:numPr>
          <w:ilvl w:val="1"/>
          <w:numId w:val="1"/>
        </w:numPr>
      </w:pPr>
      <w:r>
        <w:rPr>
          <w:rFonts w:hint="eastAsia"/>
        </w:rPr>
        <w:t>《交通信息采集 视频交通流检测器》GB/T 24726</w:t>
      </w:r>
    </w:p>
    <w:p w14:paraId="5745E516">
      <w:pPr>
        <w:pStyle w:val="164"/>
        <w:numPr>
          <w:ilvl w:val="1"/>
          <w:numId w:val="1"/>
        </w:numPr>
      </w:pPr>
      <w:r>
        <w:rPr>
          <w:rFonts w:hint="eastAsia"/>
        </w:rPr>
        <w:t>《信息安全技术 网络安全等级保护安全设计技术要求》GB/T 25070</w:t>
      </w:r>
    </w:p>
    <w:p w14:paraId="39247847">
      <w:pPr>
        <w:pStyle w:val="164"/>
        <w:numPr>
          <w:ilvl w:val="1"/>
          <w:numId w:val="1"/>
        </w:numPr>
      </w:pPr>
      <w:r>
        <w:rPr>
          <w:rFonts w:hint="eastAsia"/>
        </w:rPr>
        <w:t>《公路网图像信息管理系统平台互联技术规范 第2部分：视频格式与编码》GB/T 28059.2</w:t>
      </w:r>
    </w:p>
    <w:p w14:paraId="59FBD056">
      <w:pPr>
        <w:pStyle w:val="164"/>
        <w:numPr>
          <w:ilvl w:val="1"/>
          <w:numId w:val="1"/>
        </w:numPr>
      </w:pPr>
      <w:r>
        <w:rPr>
          <w:rFonts w:hint="eastAsia"/>
        </w:rPr>
        <w:t>《公共安全视频监控联网系统信息传输、交换、控制技术要求》GB/T 28181</w:t>
      </w:r>
    </w:p>
    <w:p w14:paraId="6DD4D658">
      <w:pPr>
        <w:pStyle w:val="164"/>
        <w:numPr>
          <w:ilvl w:val="1"/>
          <w:numId w:val="1"/>
        </w:numPr>
      </w:pPr>
      <w:r>
        <w:rPr>
          <w:rFonts w:hint="eastAsia"/>
        </w:rPr>
        <w:t>《船舶和海上技术通过分析测速试航数据以确定速度和功率性能的评估导则》GB/T 30007</w:t>
      </w:r>
    </w:p>
    <w:p w14:paraId="192FE4F5">
      <w:pPr>
        <w:pStyle w:val="164"/>
        <w:numPr>
          <w:ilvl w:val="1"/>
          <w:numId w:val="1"/>
        </w:numPr>
      </w:pPr>
      <w:r>
        <w:rPr>
          <w:rFonts w:hint="eastAsia"/>
        </w:rPr>
        <w:t>《信息安全技术 云计算服务安全能力要求》GB/T 31168</w:t>
      </w:r>
    </w:p>
    <w:p w14:paraId="5D6F4F90">
      <w:pPr>
        <w:pStyle w:val="164"/>
        <w:numPr>
          <w:ilvl w:val="1"/>
          <w:numId w:val="1"/>
        </w:numPr>
      </w:pPr>
      <w:r>
        <w:rPr>
          <w:rFonts w:hint="eastAsia"/>
        </w:rPr>
        <w:t>《非结构化数据管理系统技术要求》GB/T 32630</w:t>
      </w:r>
    </w:p>
    <w:p w14:paraId="124C28DF">
      <w:pPr>
        <w:pStyle w:val="164"/>
        <w:numPr>
          <w:ilvl w:val="1"/>
          <w:numId w:val="1"/>
        </w:numPr>
      </w:pPr>
      <w:r>
        <w:rPr>
          <w:rFonts w:hint="eastAsia"/>
        </w:rPr>
        <w:t>《石油天然气工业 海上钻井和修井设备》GB/T 35146</w:t>
      </w:r>
    </w:p>
    <w:p w14:paraId="0EC8B986">
      <w:pPr>
        <w:pStyle w:val="164"/>
        <w:numPr>
          <w:ilvl w:val="1"/>
          <w:numId w:val="1"/>
        </w:numPr>
      </w:pPr>
      <w:r>
        <w:rPr>
          <w:rFonts w:hint="eastAsia"/>
        </w:rPr>
        <w:t>《船舶自动识别系统(AIS)B类设备技术要求 第1部分：载波侦听时分多址（CSTDMA）》GB/T 35552.1</w:t>
      </w:r>
    </w:p>
    <w:p w14:paraId="369B2E1F">
      <w:pPr>
        <w:pStyle w:val="164"/>
        <w:numPr>
          <w:ilvl w:val="1"/>
          <w:numId w:val="1"/>
        </w:numPr>
      </w:pPr>
      <w:r>
        <w:rPr>
          <w:rFonts w:hint="eastAsia"/>
        </w:rPr>
        <w:t>《公路数据库编目编码规则》JT/T 132</w:t>
      </w:r>
    </w:p>
    <w:p w14:paraId="238FB315">
      <w:pPr>
        <w:pStyle w:val="164"/>
        <w:numPr>
          <w:ilvl w:val="1"/>
          <w:numId w:val="1"/>
        </w:numPr>
      </w:pPr>
      <w:r>
        <w:rPr>
          <w:rFonts w:hint="eastAsia"/>
        </w:rPr>
        <w:t>《码头结构设计规范》JTS 167</w:t>
      </w:r>
    </w:p>
    <w:p w14:paraId="52347AE2">
      <w:pPr>
        <w:pStyle w:val="164"/>
        <w:numPr>
          <w:ilvl w:val="1"/>
          <w:numId w:val="1"/>
        </w:numPr>
      </w:pPr>
      <w:r>
        <w:rPr>
          <w:rFonts w:hint="eastAsia"/>
        </w:rPr>
        <w:t>《甚高频（VHF）岸台技术要求》JT/T 679</w:t>
      </w:r>
    </w:p>
    <w:p w14:paraId="425B1747">
      <w:pPr>
        <w:pStyle w:val="164"/>
        <w:numPr>
          <w:ilvl w:val="1"/>
          <w:numId w:val="1"/>
        </w:numPr>
      </w:pPr>
      <w:r>
        <w:rPr>
          <w:rFonts w:hint="eastAsia"/>
        </w:rPr>
        <w:t>《航标灯通用技术条件》JT/T 761</w:t>
      </w:r>
    </w:p>
    <w:p w14:paraId="3B98DD34">
      <w:pPr>
        <w:pStyle w:val="164"/>
        <w:numPr>
          <w:ilvl w:val="1"/>
          <w:numId w:val="1"/>
        </w:numPr>
      </w:pPr>
      <w:r>
        <w:rPr>
          <w:rFonts w:hint="eastAsia"/>
        </w:rPr>
        <w:t>《公路机电系统设备通用技术规范》JT/T 817</w:t>
      </w:r>
    </w:p>
    <w:p w14:paraId="726AE8A2">
      <w:pPr>
        <w:pStyle w:val="164"/>
        <w:numPr>
          <w:ilvl w:val="1"/>
          <w:numId w:val="1"/>
        </w:numPr>
      </w:pPr>
      <w:r>
        <w:rPr>
          <w:rFonts w:hint="eastAsia"/>
        </w:rPr>
        <w:t>《公路桥梁结构监测技术规范》JT/T 1037</w:t>
      </w:r>
    </w:p>
    <w:p w14:paraId="345BE991">
      <w:pPr>
        <w:pStyle w:val="164"/>
        <w:numPr>
          <w:ilvl w:val="1"/>
          <w:numId w:val="1"/>
        </w:numPr>
      </w:pPr>
      <w:r>
        <w:rPr>
          <w:rFonts w:hint="eastAsia"/>
        </w:rPr>
        <w:t>《公路桥梁抗撞设计规范》JTG/T 3360-02</w:t>
      </w:r>
    </w:p>
    <w:p w14:paraId="58970123">
      <w:pPr>
        <w:pStyle w:val="164"/>
        <w:numPr>
          <w:ilvl w:val="1"/>
          <w:numId w:val="1"/>
        </w:numPr>
      </w:pPr>
      <w:r>
        <w:rPr>
          <w:rFonts w:hint="eastAsia"/>
        </w:rPr>
        <w:t>《海上风电场工程基础防撞设施技术规程》NB/T 11001</w:t>
      </w:r>
    </w:p>
    <w:p w14:paraId="70DF6A34">
      <w:pPr>
        <w:pStyle w:val="164"/>
        <w:numPr>
          <w:ilvl w:val="1"/>
          <w:numId w:val="1"/>
        </w:numPr>
      </w:pPr>
      <w:r>
        <w:rPr>
          <w:rFonts w:hint="eastAsia"/>
        </w:rPr>
        <w:t>《IP网络技术要求 网络性能测量方法》YD/T 1381</w:t>
      </w:r>
    </w:p>
    <w:p w14:paraId="45FA400E">
      <w:pPr>
        <w:pStyle w:val="164"/>
        <w:numPr>
          <w:ilvl w:val="1"/>
          <w:numId w:val="1"/>
        </w:numPr>
      </w:pPr>
      <w:r>
        <w:rPr>
          <w:rFonts w:hint="eastAsia"/>
        </w:rPr>
        <w:t>《VHF/UHF无线电管制发射机技术要求及测试方法》YD/T 2779</w:t>
      </w:r>
    </w:p>
    <w:p w14:paraId="665892B2">
      <w:pPr>
        <w:pStyle w:val="164"/>
        <w:ind w:firstLineChars="200"/>
      </w:pPr>
    </w:p>
    <w:p w14:paraId="6641CBA4">
      <w:pPr>
        <w:pStyle w:val="164"/>
        <w:ind w:firstLineChars="200"/>
      </w:pPr>
      <w:r>
        <w:br w:type="page"/>
      </w:r>
    </w:p>
    <w:p w14:paraId="052E3749">
      <w:pPr>
        <w:pStyle w:val="158"/>
      </w:pPr>
      <w:bookmarkStart w:id="12" w:name="_Toc221528677"/>
      <w:bookmarkStart w:id="13" w:name="_Toc221528748"/>
      <w:r>
        <w:rPr>
          <w:rFonts w:hint="eastAsia"/>
          <w:lang w:eastAsia="zh-CN"/>
        </w:rPr>
        <w:t>3  基本规定</w:t>
      </w:r>
      <w:bookmarkEnd w:id="12"/>
      <w:bookmarkEnd w:id="13"/>
    </w:p>
    <w:p w14:paraId="590BA3CA">
      <w:pPr>
        <w:pStyle w:val="161"/>
      </w:pPr>
      <w:r>
        <w:rPr>
          <w:rFonts w:hint="eastAsia"/>
          <w:b/>
          <w:bCs/>
        </w:rPr>
        <w:t>3.0.1</w:t>
      </w:r>
      <w:r>
        <w:rPr>
          <w:rFonts w:hint="eastAsia"/>
        </w:rPr>
        <w:t>　水上构筑物符合下列条件之一时，应进行防船撞监测：</w:t>
      </w:r>
    </w:p>
    <w:p w14:paraId="2E976608">
      <w:pPr>
        <w:pStyle w:val="167"/>
      </w:pPr>
      <w:r>
        <w:rPr>
          <w:rFonts w:hint="eastAsia"/>
        </w:rPr>
        <w:t>a)</w:t>
      </w:r>
      <w:r>
        <w:rPr>
          <w:rFonts w:hint="eastAsia"/>
        </w:rPr>
        <w:tab/>
      </w:r>
      <w:r>
        <w:rPr>
          <w:rFonts w:hint="eastAsia"/>
        </w:rPr>
        <w:t>航道等级V级以上的新建桥梁或通航净高和通航净宽不满足要求的既有桥梁；</w:t>
      </w:r>
    </w:p>
    <w:p w14:paraId="01321F18">
      <w:pPr>
        <w:pStyle w:val="167"/>
      </w:pPr>
      <w:r>
        <w:rPr>
          <w:rFonts w:hint="eastAsia"/>
        </w:rPr>
        <w:t>b)</w:t>
      </w:r>
      <w:r>
        <w:rPr>
          <w:rFonts w:hint="eastAsia"/>
        </w:rPr>
        <w:tab/>
      </w:r>
      <w:r>
        <w:rPr>
          <w:rFonts w:hint="eastAsia"/>
        </w:rPr>
        <w:t>重要或高风险的非桥梁水上构筑物；</w:t>
      </w:r>
    </w:p>
    <w:p w14:paraId="7ADF9B8E">
      <w:pPr>
        <w:pStyle w:val="167"/>
      </w:pPr>
      <w:r>
        <w:rPr>
          <w:rFonts w:hint="eastAsia"/>
        </w:rPr>
        <w:t>c)</w:t>
      </w:r>
      <w:r>
        <w:rPr>
          <w:rFonts w:hint="eastAsia"/>
        </w:rPr>
        <w:tab/>
      </w:r>
      <w:r>
        <w:rPr>
          <w:rFonts w:hint="eastAsia"/>
        </w:rPr>
        <w:t>重要的防船撞设施；</w:t>
      </w:r>
    </w:p>
    <w:p w14:paraId="6F5F8D7F">
      <w:pPr>
        <w:pStyle w:val="167"/>
      </w:pPr>
      <w:r>
        <w:rPr>
          <w:rFonts w:hint="eastAsia"/>
        </w:rPr>
        <w:t>d)</w:t>
      </w:r>
      <w:r>
        <w:rPr>
          <w:rFonts w:hint="eastAsia"/>
        </w:rPr>
        <w:tab/>
      </w:r>
      <w:r>
        <w:rPr>
          <w:rFonts w:hint="eastAsia"/>
        </w:rPr>
        <w:t>经专项评估确定的其他设施。</w:t>
      </w:r>
    </w:p>
    <w:p w14:paraId="3FC430B5">
      <w:pPr>
        <w:pStyle w:val="161"/>
      </w:pPr>
      <w:r>
        <w:rPr>
          <w:rFonts w:hint="eastAsia"/>
          <w:b/>
          <w:bCs/>
        </w:rPr>
        <w:t>3.0.2　</w:t>
      </w:r>
      <w:r>
        <w:rPr>
          <w:rFonts w:hint="eastAsia"/>
        </w:rPr>
        <w:t>防船撞监测的设计宜遵循实时性、可靠性、冗余性、易维护性以及易拓展性原则。</w:t>
      </w:r>
    </w:p>
    <w:p w14:paraId="648D5510">
      <w:pPr>
        <w:pStyle w:val="161"/>
      </w:pPr>
      <w:r>
        <w:rPr>
          <w:rFonts w:hint="eastAsia"/>
          <w:b/>
          <w:bCs/>
        </w:rPr>
        <w:t>3.0.3　</w:t>
      </w:r>
      <w:r>
        <w:rPr>
          <w:rFonts w:hint="eastAsia"/>
        </w:rPr>
        <w:t>对于新修建的水上构筑物，防船撞监测系统的设计、建设宜与水上构筑物主体结构同期进行。</w:t>
      </w:r>
    </w:p>
    <w:p w14:paraId="1D052154">
      <w:pPr>
        <w:pStyle w:val="161"/>
      </w:pPr>
      <w:r>
        <w:rPr>
          <w:rFonts w:hint="eastAsia"/>
          <w:b/>
          <w:bCs/>
        </w:rPr>
        <w:t>3.0.4　</w:t>
      </w:r>
      <w:r>
        <w:rPr>
          <w:rFonts w:hint="eastAsia"/>
        </w:rPr>
        <w:t>监测设备设计使用年限宜与构筑物主体结构相协调。</w:t>
      </w:r>
    </w:p>
    <w:p w14:paraId="68DC572C">
      <w:pPr>
        <w:pStyle w:val="161"/>
      </w:pPr>
      <w:r>
        <w:rPr>
          <w:rFonts w:hint="eastAsia"/>
          <w:b/>
          <w:bCs/>
        </w:rPr>
        <w:t>3.0.5　</w:t>
      </w:r>
      <w:r>
        <w:rPr>
          <w:rFonts w:hint="eastAsia"/>
        </w:rPr>
        <w:t>防船撞监测系统应构建覆盖船舶行为及航道环境的全方位、多层次立体感知与预警体系，具备实时感知、智能分析与分级预警能力。</w:t>
      </w:r>
    </w:p>
    <w:p w14:paraId="68093402">
      <w:pPr>
        <w:pStyle w:val="161"/>
      </w:pPr>
      <w:r>
        <w:rPr>
          <w:rFonts w:hint="eastAsia"/>
          <w:b/>
          <w:bCs/>
        </w:rPr>
        <w:t>3.0.6　</w:t>
      </w:r>
      <w:r>
        <w:rPr>
          <w:rFonts w:hint="eastAsia"/>
        </w:rPr>
        <w:t>防船撞监测系统宜参照JT/T1037对水上构筑物的结构状态进行监测，重点监测撞击过程中和撞击后的结构响应。</w:t>
      </w:r>
    </w:p>
    <w:p w14:paraId="441D28B0">
      <w:pPr>
        <w:pStyle w:val="161"/>
      </w:pPr>
      <w:r>
        <w:rPr>
          <w:rFonts w:hint="eastAsia"/>
          <w:b/>
          <w:bCs/>
        </w:rPr>
        <w:t>3.0.7　</w:t>
      </w:r>
      <w:r>
        <w:rPr>
          <w:rFonts w:hint="eastAsia"/>
        </w:rPr>
        <w:t>防船撞监测系统应包含业务现场、监控中心和数据共享三部分，其总体架构见图1。</w:t>
      </w:r>
    </w:p>
    <w:p w14:paraId="2DAEBA5C">
      <w:pPr>
        <w:pStyle w:val="166"/>
      </w:pPr>
      <w:r>
        <w:drawing>
          <wp:inline distT="0" distB="0" distL="0" distR="0">
            <wp:extent cx="5397500" cy="2430145"/>
            <wp:effectExtent l="0" t="0" r="0" b="8255"/>
            <wp:docPr id="3" name="图片 3"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AI 生成的内容可能不正确。"/>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7500" cy="2430243"/>
                    </a:xfrm>
                    <a:prstGeom prst="rect">
                      <a:avLst/>
                    </a:prstGeom>
                    <a:noFill/>
                    <a:ln>
                      <a:noFill/>
                    </a:ln>
                  </pic:spPr>
                </pic:pic>
              </a:graphicData>
            </a:graphic>
          </wp:inline>
        </w:drawing>
      </w:r>
    </w:p>
    <w:p w14:paraId="23302DC5">
      <w:pPr>
        <w:pStyle w:val="166"/>
        <w:rPr>
          <w:b/>
          <w:bCs/>
        </w:rPr>
      </w:pPr>
      <w:r>
        <w:rPr>
          <w:rFonts w:hint="eastAsia"/>
          <w:b/>
          <w:bCs/>
        </w:rPr>
        <w:t>图1　防船撞系统组成与架构图</w:t>
      </w:r>
    </w:p>
    <w:p w14:paraId="0A58A9F3">
      <w:pPr>
        <w:pStyle w:val="161"/>
      </w:pPr>
      <w:r>
        <w:rPr>
          <w:rFonts w:hint="eastAsia"/>
          <w:b/>
          <w:bCs/>
        </w:rPr>
        <w:t>3.0.8　</w:t>
      </w:r>
      <w:r>
        <w:rPr>
          <w:rFonts w:hint="eastAsia"/>
        </w:rPr>
        <w:t>系统应具备自动存储功能，完整记录预警事件开始、处置到结束的全过程关联信息。</w:t>
      </w:r>
    </w:p>
    <w:p w14:paraId="067C786B">
      <w:pPr>
        <w:pStyle w:val="161"/>
      </w:pPr>
      <w:r>
        <w:rPr>
          <w:rFonts w:hint="eastAsia"/>
          <w:b/>
          <w:bCs/>
        </w:rPr>
        <w:t>3.0.9　</w:t>
      </w:r>
      <w:r>
        <w:rPr>
          <w:rFonts w:hint="eastAsia"/>
        </w:rPr>
        <w:t>监测内容和预警方式宜由航道情况、环境条件、构筑物重要性、船舶撞击专项风险评估和历史船撞记录确定。</w:t>
      </w:r>
    </w:p>
    <w:p w14:paraId="702449A1">
      <w:pPr>
        <w:pStyle w:val="161"/>
      </w:pPr>
      <w:r>
        <w:rPr>
          <w:rFonts w:hint="eastAsia"/>
          <w:b/>
          <w:bCs/>
        </w:rPr>
        <w:t>3.0.10　</w:t>
      </w:r>
      <w:r>
        <w:rPr>
          <w:rFonts w:hint="eastAsia"/>
        </w:rPr>
        <w:t>防船撞监测系统应与航道管理部门、构筑物管理部门、应急管理部门等建立信息接口，实现数据共享。</w:t>
      </w:r>
    </w:p>
    <w:p w14:paraId="3B299E80">
      <w:pPr>
        <w:pStyle w:val="161"/>
      </w:pPr>
      <w:r>
        <w:rPr>
          <w:rFonts w:hint="eastAsia"/>
          <w:b/>
          <w:bCs/>
        </w:rPr>
        <w:t>3.0.11　</w:t>
      </w:r>
      <w:r>
        <w:rPr>
          <w:rFonts w:hint="eastAsia"/>
        </w:rPr>
        <w:t>防船撞监测系统的设备选型、安装布设、线缆敷设、供电与通信保障等应结合水上构筑物结构特点和现场作业条件，制定专项设计和施工方案。</w:t>
      </w:r>
    </w:p>
    <w:p w14:paraId="46B25576">
      <w:pPr>
        <w:pStyle w:val="161"/>
      </w:pPr>
      <w:r>
        <w:rPr>
          <w:rFonts w:hint="eastAsia"/>
          <w:b/>
          <w:bCs/>
        </w:rPr>
        <w:t>3.0.12　</w:t>
      </w:r>
      <w:r>
        <w:rPr>
          <w:rFonts w:hint="eastAsia"/>
        </w:rPr>
        <w:t>现场传感器、通信设备、供电装置等硬件设施的安装应符合相关产品技术规范及水上作业安全要求，并采取防腐、防冲刷、防雷击等防护措施。</w:t>
      </w:r>
    </w:p>
    <w:p w14:paraId="42857C37">
      <w:pPr>
        <w:pStyle w:val="161"/>
      </w:pPr>
      <w:r>
        <w:rPr>
          <w:rFonts w:hint="eastAsia"/>
          <w:b/>
          <w:bCs/>
        </w:rPr>
        <w:t>3.0.13　</w:t>
      </w:r>
      <w:r>
        <w:rPr>
          <w:rFonts w:hint="eastAsia"/>
        </w:rPr>
        <w:t>系统各组成部分应在现场完成集成调试，确保感知、传输、处理、预警等环节功能联动正常。</w:t>
      </w:r>
    </w:p>
    <w:p w14:paraId="15FB167C">
      <w:pPr>
        <w:pStyle w:val="161"/>
      </w:pPr>
      <w:r>
        <w:rPr>
          <w:rFonts w:hint="eastAsia"/>
          <w:b/>
          <w:bCs/>
        </w:rPr>
        <w:t>3.0.14　</w:t>
      </w:r>
      <w:r>
        <w:rPr>
          <w:rFonts w:hint="eastAsia"/>
        </w:rPr>
        <w:t>监测系统所产生的数据，应作为系统进行事前预警、事中干预和事后追溯的统一依据。</w:t>
      </w:r>
    </w:p>
    <w:p w14:paraId="5C9A57FB">
      <w:pPr>
        <w:pStyle w:val="161"/>
      </w:pPr>
      <w:r>
        <w:rPr>
          <w:rFonts w:hint="eastAsia"/>
          <w:b/>
          <w:bCs/>
        </w:rPr>
        <w:t>3.0.15　</w:t>
      </w:r>
      <w:r>
        <w:rPr>
          <w:rFonts w:hint="eastAsia"/>
        </w:rPr>
        <w:t>防船撞监测系统建成后应组织专项验收，验收内容应包含系统硬件设备验收、监测功能验收和预警功能验收。</w:t>
      </w:r>
    </w:p>
    <w:p w14:paraId="282E1638">
      <w:pPr>
        <w:pStyle w:val="161"/>
      </w:pPr>
      <w:r>
        <w:rPr>
          <w:rFonts w:hint="eastAsia"/>
          <w:b/>
          <w:bCs/>
        </w:rPr>
        <w:t>3.0.16</w:t>
      </w:r>
      <w:r>
        <w:rPr>
          <w:rFonts w:hint="eastAsia"/>
        </w:rPr>
        <w:t>　系统验收前应进行不低于2个月的试运行。试运行期内应开展系统使用培训、功能完善、设备基准值校正、预警阈值校正等工作。</w:t>
      </w:r>
    </w:p>
    <w:p w14:paraId="0B173A9D">
      <w:pPr>
        <w:pStyle w:val="161"/>
      </w:pPr>
      <w:r>
        <w:rPr>
          <w:rFonts w:hint="eastAsia"/>
          <w:b/>
          <w:bCs/>
        </w:rPr>
        <w:t>3.0.17</w:t>
      </w:r>
      <w:r>
        <w:rPr>
          <w:rFonts w:hint="eastAsia"/>
        </w:rPr>
        <w:t>　系统硬件设备验收、监测功能验收和预警功能宜进行现场验收。</w:t>
      </w:r>
    </w:p>
    <w:p w14:paraId="15304B77">
      <w:pPr>
        <w:pStyle w:val="161"/>
      </w:pPr>
      <w:r>
        <w:rPr>
          <w:rFonts w:hint="eastAsia"/>
          <w:b/>
          <w:bCs/>
        </w:rPr>
        <w:t>3.0.18</w:t>
      </w:r>
      <w:r>
        <w:rPr>
          <w:rFonts w:hint="eastAsia"/>
        </w:rPr>
        <w:t>　系统验收资料应齐全、规范，宜包含以下内容：</w:t>
      </w:r>
    </w:p>
    <w:p w14:paraId="78CBD112">
      <w:pPr>
        <w:pStyle w:val="167"/>
      </w:pPr>
      <w:r>
        <w:rPr>
          <w:rFonts w:hint="eastAsia"/>
        </w:rPr>
        <w:t>a)</w:t>
      </w:r>
      <w:r>
        <w:rPr>
          <w:rFonts w:hint="eastAsia"/>
        </w:rPr>
        <w:tab/>
      </w:r>
      <w:r>
        <w:rPr>
          <w:rFonts w:hint="eastAsia"/>
        </w:rPr>
        <w:t>合同相关资料：合同协议书、合同谈判纪要等；</w:t>
      </w:r>
    </w:p>
    <w:p w14:paraId="3E208C43">
      <w:pPr>
        <w:pStyle w:val="167"/>
      </w:pPr>
      <w:r>
        <w:rPr>
          <w:rFonts w:hint="eastAsia"/>
        </w:rPr>
        <w:t>b)</w:t>
      </w:r>
      <w:r>
        <w:rPr>
          <w:rFonts w:hint="eastAsia"/>
        </w:rPr>
        <w:tab/>
      </w:r>
      <w:r>
        <w:rPr>
          <w:rFonts w:hint="eastAsia"/>
        </w:rPr>
        <w:t>实施过程资料：系统设计文件，系统变更资料，设备进场报验资料、监测设备设施安装记录、设备设施检验资料，监理资料（质量控制资料），有关会议纪要等；</w:t>
      </w:r>
    </w:p>
    <w:p w14:paraId="01B1AF66">
      <w:pPr>
        <w:pStyle w:val="167"/>
      </w:pPr>
      <w:r>
        <w:rPr>
          <w:rFonts w:hint="eastAsia"/>
        </w:rPr>
        <w:t>c)</w:t>
      </w:r>
      <w:r>
        <w:rPr>
          <w:rFonts w:hint="eastAsia"/>
        </w:rPr>
        <w:tab/>
      </w:r>
      <w:r>
        <w:rPr>
          <w:rFonts w:hint="eastAsia"/>
        </w:rPr>
        <w:t>技术总结资料：工作总结报告、系统竣工图、硬件实施成果报告、硬件维护手册、软件实施成果报告、软件操作手册和系统试运行报告。</w:t>
      </w:r>
    </w:p>
    <w:p w14:paraId="18A2935B">
      <w:pPr>
        <w:pStyle w:val="161"/>
      </w:pPr>
      <w:r>
        <w:rPr>
          <w:rFonts w:hint="eastAsia"/>
          <w:b/>
          <w:bCs/>
        </w:rPr>
        <w:t>3.0.19</w:t>
      </w:r>
      <w:r>
        <w:rPr>
          <w:rFonts w:hint="eastAsia"/>
        </w:rPr>
        <w:t>　系统投入运行后，应建立硬件和软件的日常检查和定期维护机制。</w:t>
      </w:r>
    </w:p>
    <w:p w14:paraId="73107ADD">
      <w:pPr>
        <w:pStyle w:val="161"/>
      </w:pPr>
      <w:r>
        <w:rPr>
          <w:rFonts w:hint="eastAsia"/>
          <w:b/>
          <w:bCs/>
        </w:rPr>
        <w:t>3.0.20</w:t>
      </w:r>
      <w:r>
        <w:rPr>
          <w:rFonts w:hint="eastAsia"/>
        </w:rPr>
        <w:t>　系统缺陷责任期宜为 2年。</w:t>
      </w:r>
      <w:r>
        <w:br w:type="page"/>
      </w:r>
    </w:p>
    <w:p w14:paraId="2A3ABBE5">
      <w:pPr>
        <w:pStyle w:val="158"/>
      </w:pPr>
      <w:bookmarkStart w:id="14" w:name="_Toc221528678"/>
      <w:bookmarkStart w:id="15" w:name="_Toc221528749"/>
      <w:r>
        <w:rPr>
          <w:rFonts w:hint="eastAsia"/>
          <w:lang w:eastAsia="zh-CN"/>
        </w:rPr>
        <w:t xml:space="preserve">4  </w:t>
      </w:r>
      <w:r>
        <w:rPr>
          <w:rFonts w:hint="eastAsia"/>
        </w:rPr>
        <w:t>防船撞监测</w:t>
      </w:r>
      <w:bookmarkEnd w:id="14"/>
      <w:bookmarkEnd w:id="15"/>
    </w:p>
    <w:p w14:paraId="2A4718FC">
      <w:pPr>
        <w:pStyle w:val="159"/>
      </w:pPr>
      <w:bookmarkStart w:id="16" w:name="_Toc221528679"/>
      <w:bookmarkStart w:id="17" w:name="_Toc221528750"/>
      <w:r>
        <w:rPr>
          <w:rFonts w:hint="eastAsia"/>
        </w:rPr>
        <w:t>4.1  监测内容</w:t>
      </w:r>
      <w:bookmarkEnd w:id="16"/>
      <w:bookmarkEnd w:id="17"/>
    </w:p>
    <w:p w14:paraId="04963865">
      <w:pPr>
        <w:pStyle w:val="161"/>
      </w:pPr>
      <w:r>
        <w:rPr>
          <w:rFonts w:hint="eastAsia"/>
          <w:b/>
        </w:rPr>
        <w:t>4.1.1　</w:t>
      </w:r>
      <w:r>
        <w:rPr>
          <w:rFonts w:hint="eastAsia"/>
        </w:rPr>
        <w:t>水上构筑物防船撞监测内容应包含船舶动态参数、船舶是否偏航和潮汐水位。</w:t>
      </w:r>
    </w:p>
    <w:p w14:paraId="11FE1AB0">
      <w:pPr>
        <w:pStyle w:val="167"/>
      </w:pPr>
      <w:r>
        <w:rPr>
          <w:rFonts w:hint="eastAsia"/>
        </w:rPr>
        <w:t>a)</w:t>
      </w:r>
      <w:r>
        <w:rPr>
          <w:rFonts w:hint="eastAsia"/>
        </w:rPr>
        <w:tab/>
      </w:r>
      <w:r>
        <w:rPr>
          <w:rFonts w:hint="eastAsia"/>
        </w:rPr>
        <w:t>船舶动态参数：船舶实时位置、船舶与构筑物的水平净距、航向、航速及航迹；</w:t>
      </w:r>
    </w:p>
    <w:p w14:paraId="5C529AEB">
      <w:pPr>
        <w:pStyle w:val="167"/>
      </w:pPr>
      <w:r>
        <w:rPr>
          <w:rFonts w:hint="eastAsia"/>
        </w:rPr>
        <w:t>b)</w:t>
      </w:r>
      <w:r>
        <w:rPr>
          <w:rFonts w:hint="eastAsia"/>
        </w:rPr>
        <w:tab/>
      </w:r>
      <w:r>
        <w:rPr>
          <w:rFonts w:hint="eastAsia"/>
        </w:rPr>
        <w:t>船舶是否偏航；</w:t>
      </w:r>
    </w:p>
    <w:p w14:paraId="680E0010">
      <w:pPr>
        <w:pStyle w:val="167"/>
      </w:pPr>
      <w:r>
        <w:rPr>
          <w:rFonts w:hint="eastAsia"/>
        </w:rPr>
        <w:t>c)</w:t>
      </w:r>
      <w:r>
        <w:rPr>
          <w:rFonts w:hint="eastAsia"/>
        </w:rPr>
        <w:tab/>
      </w:r>
      <w:r>
        <w:rPr>
          <w:rFonts w:hint="eastAsia"/>
        </w:rPr>
        <w:t>潮汐水位。</w:t>
      </w:r>
    </w:p>
    <w:p w14:paraId="7C2545B8">
      <w:pPr>
        <w:pStyle w:val="161"/>
      </w:pPr>
      <w:r>
        <w:rPr>
          <w:rFonts w:hint="eastAsia"/>
          <w:b/>
        </w:rPr>
        <w:t>4.1.2　</w:t>
      </w:r>
      <w:r>
        <w:rPr>
          <w:rFonts w:hint="eastAsia"/>
        </w:rPr>
        <w:t>水上构筑物防船撞监测内容宜包含船舶静态参数、船舶运行状态以及气象水文参数。</w:t>
      </w:r>
    </w:p>
    <w:p w14:paraId="3CF090DD">
      <w:pPr>
        <w:pStyle w:val="167"/>
      </w:pPr>
      <w:r>
        <w:rPr>
          <w:rFonts w:hint="eastAsia"/>
        </w:rPr>
        <w:t>a)</w:t>
      </w:r>
      <w:r>
        <w:rPr>
          <w:rFonts w:hint="eastAsia"/>
        </w:rPr>
        <w:tab/>
      </w:r>
      <w:r>
        <w:rPr>
          <w:rFonts w:hint="eastAsia"/>
        </w:rPr>
        <w:t>船舶静态参数：船舶名称、呼号、几何尺寸、船舶类型及载重吨位等；</w:t>
      </w:r>
    </w:p>
    <w:p w14:paraId="73F25336">
      <w:pPr>
        <w:pStyle w:val="167"/>
      </w:pPr>
      <w:r>
        <w:rPr>
          <w:rFonts w:hint="eastAsia"/>
        </w:rPr>
        <w:t>b)</w:t>
      </w:r>
      <w:r>
        <w:rPr>
          <w:rFonts w:hint="eastAsia"/>
        </w:rPr>
        <w:tab/>
      </w:r>
      <w:r>
        <w:rPr>
          <w:rFonts w:hint="eastAsia"/>
        </w:rPr>
        <w:t>船舶运行状态：超速、低速及停滞等；</w:t>
      </w:r>
    </w:p>
    <w:p w14:paraId="326F3228">
      <w:pPr>
        <w:pStyle w:val="167"/>
      </w:pPr>
      <w:r>
        <w:rPr>
          <w:rFonts w:hint="eastAsia"/>
        </w:rPr>
        <w:t>c)</w:t>
      </w:r>
      <w:r>
        <w:rPr>
          <w:rFonts w:hint="eastAsia"/>
        </w:rPr>
        <w:tab/>
      </w:r>
      <w:r>
        <w:rPr>
          <w:rFonts w:hint="eastAsia"/>
        </w:rPr>
        <w:t>气象水文参数：流速、流向及风速等。</w:t>
      </w:r>
    </w:p>
    <w:p w14:paraId="6EE405F7">
      <w:pPr>
        <w:pStyle w:val="161"/>
      </w:pPr>
      <w:r>
        <w:rPr>
          <w:rFonts w:hint="eastAsia"/>
          <w:b/>
        </w:rPr>
        <w:t>4.1.3　</w:t>
      </w:r>
      <w:r>
        <w:rPr>
          <w:rFonts w:hint="eastAsia"/>
        </w:rPr>
        <w:t>对于通航孔桥跨，应依据3.0.1确定是否设置防船撞监测系统。对于非通航孔桥跨，宜根据船舶撞击专项风险评估结论，确定是否设置防船撞监测系统。</w:t>
      </w:r>
    </w:p>
    <w:p w14:paraId="3CC5C1FA">
      <w:pPr>
        <w:pStyle w:val="161"/>
      </w:pPr>
      <w:r>
        <w:rPr>
          <w:rFonts w:hint="eastAsia"/>
          <w:b/>
        </w:rPr>
        <w:t>4.1.4　</w:t>
      </w:r>
      <w:r>
        <w:rPr>
          <w:rFonts w:hint="eastAsia"/>
        </w:rPr>
        <w:t>在役桥梁新建或升级改造防船撞监测系统时，应进行专项风险评估，并应参考历史的船撞事故记录、险情报告及桥梁结构特点，确定和增设监测内容。</w:t>
      </w:r>
    </w:p>
    <w:p w14:paraId="09AF675E">
      <w:pPr>
        <w:pStyle w:val="161"/>
      </w:pPr>
      <w:r>
        <w:rPr>
          <w:rFonts w:hint="eastAsia"/>
          <w:b/>
        </w:rPr>
        <w:t>4.1.5　</w:t>
      </w:r>
      <w:r>
        <w:rPr>
          <w:rFonts w:hint="eastAsia"/>
        </w:rPr>
        <w:t>通航净高不满足要求的桥梁应对船舶是否超高进行监测。</w:t>
      </w:r>
    </w:p>
    <w:p w14:paraId="291D48EE">
      <w:pPr>
        <w:pStyle w:val="161"/>
      </w:pPr>
      <w:r>
        <w:rPr>
          <w:rFonts w:hint="eastAsia"/>
          <w:b/>
        </w:rPr>
        <w:t>4.1.6　</w:t>
      </w:r>
      <w:r>
        <w:rPr>
          <w:rFonts w:hint="eastAsia"/>
        </w:rPr>
        <w:t>通航净宽不满足要求的桥梁应对船舶是否超宽进行监测。</w:t>
      </w:r>
    </w:p>
    <w:p w14:paraId="6383ACBF">
      <w:pPr>
        <w:pStyle w:val="161"/>
      </w:pPr>
      <w:r>
        <w:rPr>
          <w:rFonts w:hint="eastAsia"/>
          <w:b/>
        </w:rPr>
        <w:t>4.1.7　</w:t>
      </w:r>
      <w:r>
        <w:rPr>
          <w:rFonts w:hint="eastAsia"/>
        </w:rPr>
        <w:t>水上房屋构筑物应监测其相对于设计停泊位的相对位置及倾斜角度。</w:t>
      </w:r>
    </w:p>
    <w:p w14:paraId="4D8716DE">
      <w:pPr>
        <w:pStyle w:val="161"/>
      </w:pPr>
      <w:r>
        <w:rPr>
          <w:rFonts w:hint="eastAsia"/>
          <w:b/>
        </w:rPr>
        <w:t>4.1.8　</w:t>
      </w:r>
      <w:r>
        <w:rPr>
          <w:rFonts w:hint="eastAsia"/>
        </w:rPr>
        <w:t>水上房屋，宜增加下列监测内容：</w:t>
      </w:r>
    </w:p>
    <w:p w14:paraId="528529AD">
      <w:pPr>
        <w:pStyle w:val="167"/>
      </w:pPr>
      <w:r>
        <w:rPr>
          <w:rFonts w:hint="eastAsia"/>
        </w:rPr>
        <w:t>a)</w:t>
      </w:r>
      <w:r>
        <w:rPr>
          <w:rFonts w:hint="eastAsia"/>
        </w:rPr>
        <w:tab/>
      </w:r>
      <w:r>
        <w:rPr>
          <w:rFonts w:hint="eastAsia"/>
        </w:rPr>
        <w:t>小型船舶与非AIS目标识别；</w:t>
      </w:r>
    </w:p>
    <w:p w14:paraId="599CA252">
      <w:pPr>
        <w:pStyle w:val="167"/>
      </w:pPr>
      <w:r>
        <w:rPr>
          <w:rFonts w:hint="eastAsia"/>
        </w:rPr>
        <w:t>b)</w:t>
      </w:r>
      <w:r>
        <w:rPr>
          <w:rFonts w:hint="eastAsia"/>
        </w:rPr>
        <w:tab/>
      </w:r>
      <w:r>
        <w:rPr>
          <w:rFonts w:hint="eastAsia"/>
        </w:rPr>
        <w:t>船舶身份及非法入侵识别。</w:t>
      </w:r>
    </w:p>
    <w:p w14:paraId="690C00C6">
      <w:pPr>
        <w:pStyle w:val="161"/>
      </w:pPr>
      <w:r>
        <w:rPr>
          <w:rFonts w:hint="eastAsia"/>
          <w:b/>
        </w:rPr>
        <w:t>4.1.9　</w:t>
      </w:r>
      <w:r>
        <w:rPr>
          <w:rFonts w:hint="eastAsia"/>
        </w:rPr>
        <w:t>非固定式钻井平台应监测其相对于设计点位的相对位置及倾斜角度。</w:t>
      </w:r>
    </w:p>
    <w:p w14:paraId="0C8695BB">
      <w:pPr>
        <w:pStyle w:val="161"/>
      </w:pPr>
      <w:r>
        <w:rPr>
          <w:rFonts w:hint="eastAsia"/>
          <w:b/>
        </w:rPr>
        <w:t>4.1.10　</w:t>
      </w:r>
      <w:r>
        <w:rPr>
          <w:rFonts w:hint="eastAsia"/>
        </w:rPr>
        <w:t>钻井平台，宜增加下列监测内容：</w:t>
      </w:r>
    </w:p>
    <w:p w14:paraId="222AECB2">
      <w:pPr>
        <w:pStyle w:val="167"/>
      </w:pPr>
      <w:r>
        <w:rPr>
          <w:rFonts w:hint="eastAsia"/>
        </w:rPr>
        <w:t>a)</w:t>
      </w:r>
      <w:r>
        <w:rPr>
          <w:rFonts w:hint="eastAsia"/>
        </w:rPr>
        <w:tab/>
      </w:r>
      <w:r>
        <w:rPr>
          <w:rFonts w:hint="eastAsia"/>
        </w:rPr>
        <w:t>吊机作业区域监测；</w:t>
      </w:r>
    </w:p>
    <w:p w14:paraId="63C72042">
      <w:pPr>
        <w:pStyle w:val="167"/>
      </w:pPr>
      <w:r>
        <w:rPr>
          <w:rFonts w:hint="eastAsia"/>
        </w:rPr>
        <w:t>b)</w:t>
      </w:r>
      <w:r>
        <w:rPr>
          <w:rFonts w:hint="eastAsia"/>
        </w:rPr>
        <w:tab/>
      </w:r>
      <w:r>
        <w:rPr>
          <w:rFonts w:hint="eastAsia"/>
        </w:rPr>
        <w:t>船舶身份及非法入侵识别。</w:t>
      </w:r>
    </w:p>
    <w:p w14:paraId="692D7BA3">
      <w:pPr>
        <w:pStyle w:val="161"/>
      </w:pPr>
      <w:r>
        <w:rPr>
          <w:rFonts w:hint="eastAsia"/>
          <w:b/>
        </w:rPr>
        <w:t>4.1.11　</w:t>
      </w:r>
      <w:r>
        <w:rPr>
          <w:rFonts w:hint="eastAsia"/>
        </w:rPr>
        <w:t>海上风电场的基础防撞监测内容应符合NB/T 11001的规定。</w:t>
      </w:r>
    </w:p>
    <w:p w14:paraId="10ECF921">
      <w:pPr>
        <w:pStyle w:val="161"/>
      </w:pPr>
      <w:r>
        <w:rPr>
          <w:rFonts w:hint="eastAsia"/>
          <w:b/>
        </w:rPr>
        <w:t>4.1.12　</w:t>
      </w:r>
      <w:r>
        <w:rPr>
          <w:rFonts w:hint="eastAsia"/>
        </w:rPr>
        <w:t>漂浮式海上风力发电机组应监测其相对于设计点位的相对位置。</w:t>
      </w:r>
    </w:p>
    <w:p w14:paraId="6E1E2374">
      <w:pPr>
        <w:pStyle w:val="161"/>
      </w:pPr>
      <w:r>
        <w:rPr>
          <w:rFonts w:hint="eastAsia"/>
          <w:b/>
        </w:rPr>
        <w:t>4.1.13　</w:t>
      </w:r>
      <w:r>
        <w:rPr>
          <w:rFonts w:hint="eastAsia"/>
        </w:rPr>
        <w:t>海上风电场，宜增加下列监测内容：</w:t>
      </w:r>
    </w:p>
    <w:p w14:paraId="15430963">
      <w:pPr>
        <w:pStyle w:val="167"/>
      </w:pPr>
      <w:r>
        <w:rPr>
          <w:rFonts w:hint="eastAsia"/>
        </w:rPr>
        <w:t>a)</w:t>
      </w:r>
      <w:r>
        <w:rPr>
          <w:rFonts w:hint="eastAsia"/>
        </w:rPr>
        <w:tab/>
      </w:r>
      <w:r>
        <w:rPr>
          <w:rFonts w:hint="eastAsia"/>
        </w:rPr>
        <w:t>海上风电场阵列通道船舶穿越、停滞行为监测；</w:t>
      </w:r>
    </w:p>
    <w:p w14:paraId="47CBD256">
      <w:pPr>
        <w:pStyle w:val="167"/>
      </w:pPr>
      <w:r>
        <w:rPr>
          <w:rFonts w:hint="eastAsia"/>
        </w:rPr>
        <w:t>b)</w:t>
      </w:r>
      <w:r>
        <w:rPr>
          <w:rFonts w:hint="eastAsia"/>
        </w:rPr>
        <w:tab/>
      </w:r>
      <w:r>
        <w:rPr>
          <w:rFonts w:hint="eastAsia"/>
        </w:rPr>
        <w:t>船舶身份及非法入侵识别，入侵警报区域宜包含风电机组、海上升压站和集控中心等。</w:t>
      </w:r>
    </w:p>
    <w:p w14:paraId="71510FFF">
      <w:pPr>
        <w:pStyle w:val="161"/>
      </w:pPr>
      <w:r>
        <w:rPr>
          <w:rFonts w:hint="eastAsia"/>
          <w:b/>
        </w:rPr>
        <w:t>4.1.14　</w:t>
      </w:r>
      <w:r>
        <w:rPr>
          <w:rFonts w:hint="eastAsia"/>
        </w:rPr>
        <w:t>码头，宜增加下列监测内容：</w:t>
      </w:r>
    </w:p>
    <w:p w14:paraId="4DDF92E9">
      <w:pPr>
        <w:pStyle w:val="167"/>
      </w:pPr>
      <w:r>
        <w:rPr>
          <w:rFonts w:hint="eastAsia"/>
        </w:rPr>
        <w:t>a)</w:t>
      </w:r>
      <w:r>
        <w:rPr>
          <w:rFonts w:hint="eastAsia"/>
        </w:rPr>
        <w:tab/>
      </w:r>
      <w:r>
        <w:rPr>
          <w:rFonts w:hint="eastAsia"/>
        </w:rPr>
        <w:t>船舶靠泊过程监测：靠泊船舶的来向、速度、入泊角度等；</w:t>
      </w:r>
    </w:p>
    <w:p w14:paraId="1513D66E">
      <w:pPr>
        <w:pStyle w:val="167"/>
      </w:pPr>
      <w:r>
        <w:rPr>
          <w:rFonts w:hint="eastAsia"/>
        </w:rPr>
        <w:t>b)</w:t>
      </w:r>
      <w:r>
        <w:rPr>
          <w:rFonts w:hint="eastAsia"/>
        </w:rPr>
        <w:tab/>
      </w:r>
      <w:r>
        <w:rPr>
          <w:rFonts w:hint="eastAsia"/>
        </w:rPr>
        <w:t>拖轮与引航活动监测：监测拖轮介入、牵引及制动动作等与靠泊安全直接相关的操作行为。</w:t>
      </w:r>
    </w:p>
    <w:p w14:paraId="3515EF03">
      <w:pPr>
        <w:pStyle w:val="161"/>
      </w:pPr>
      <w:r>
        <w:rPr>
          <w:rFonts w:hint="eastAsia"/>
          <w:b/>
        </w:rPr>
        <w:t>4.1.15　</w:t>
      </w:r>
      <w:r>
        <w:rPr>
          <w:rFonts w:hint="eastAsia"/>
        </w:rPr>
        <w:t>防船撞设施应监测下列内容：</w:t>
      </w:r>
    </w:p>
    <w:p w14:paraId="257F10A5">
      <w:pPr>
        <w:pStyle w:val="167"/>
      </w:pPr>
      <w:r>
        <w:rPr>
          <w:rFonts w:hint="eastAsia"/>
        </w:rPr>
        <w:t>a)</w:t>
      </w:r>
      <w:r>
        <w:rPr>
          <w:rFonts w:hint="eastAsia"/>
        </w:rPr>
        <w:tab/>
      </w:r>
      <w:r>
        <w:rPr>
          <w:rFonts w:hint="eastAsia"/>
        </w:rPr>
        <w:t>附着式防船撞装置：监测钢丝绳张力、木材或橡胶构件的变形及局部冲击加速度；</w:t>
      </w:r>
    </w:p>
    <w:p w14:paraId="16AE5985">
      <w:pPr>
        <w:pStyle w:val="167"/>
      </w:pPr>
      <w:r>
        <w:rPr>
          <w:rFonts w:hint="eastAsia"/>
        </w:rPr>
        <w:t>b)</w:t>
      </w:r>
      <w:r>
        <w:rPr>
          <w:rFonts w:hint="eastAsia"/>
        </w:rPr>
        <w:tab/>
      </w:r>
      <w:r>
        <w:rPr>
          <w:rFonts w:hint="eastAsia"/>
        </w:rPr>
        <w:t>独立式防船撞设施：监测墩体顶部和冲击侧的加速度、水平位移与倾斜角；</w:t>
      </w:r>
    </w:p>
    <w:p w14:paraId="39ACF30C">
      <w:pPr>
        <w:pStyle w:val="167"/>
      </w:pPr>
      <w:r>
        <w:rPr>
          <w:rFonts w:hint="eastAsia"/>
        </w:rPr>
        <w:t>c)</w:t>
      </w:r>
      <w:r>
        <w:rPr>
          <w:rFonts w:hint="eastAsia"/>
        </w:rPr>
        <w:tab/>
      </w:r>
      <w:r>
        <w:rPr>
          <w:rFonts w:hint="eastAsia"/>
        </w:rPr>
        <w:t>浮筒及缆索系统：监测漂移量、姿态变化及缆索受力。</w:t>
      </w:r>
    </w:p>
    <w:p w14:paraId="3AF4E1E3">
      <w:pPr>
        <w:pStyle w:val="159"/>
      </w:pPr>
      <w:bookmarkStart w:id="18" w:name="_Toc221528751"/>
      <w:bookmarkStart w:id="19" w:name="_Toc221528680"/>
      <w:r>
        <w:rPr>
          <w:rFonts w:hint="eastAsia"/>
        </w:rPr>
        <w:t>4.2  监测设备</w:t>
      </w:r>
      <w:bookmarkEnd w:id="18"/>
      <w:bookmarkEnd w:id="19"/>
    </w:p>
    <w:p w14:paraId="5F8A82BA">
      <w:pPr>
        <w:pStyle w:val="161"/>
      </w:pPr>
      <w:r>
        <w:rPr>
          <w:rFonts w:hint="eastAsia"/>
          <w:b/>
        </w:rPr>
        <w:t>4.2.1　</w:t>
      </w:r>
      <w:r>
        <w:rPr>
          <w:rFonts w:hint="eastAsia"/>
        </w:rPr>
        <w:t>监测设备的防水、防尘、防雷等级应满足现场环境要求，室外设备防护等级不应低于IP65，水下设备应满足IP68。设备应具备抗环境干扰能力，应有不间断电源保障。</w:t>
      </w:r>
    </w:p>
    <w:p w14:paraId="5FC5FB6D">
      <w:pPr>
        <w:pStyle w:val="161"/>
      </w:pPr>
      <w:r>
        <w:rPr>
          <w:rFonts w:hint="eastAsia"/>
          <w:b/>
        </w:rPr>
        <w:t>4.2.2　</w:t>
      </w:r>
      <w:r>
        <w:rPr>
          <w:rFonts w:hint="eastAsia"/>
        </w:rPr>
        <w:t>监测设备宜采用AIS、雷达、高清摄像机、激光对射装置等多种技术的组合。</w:t>
      </w:r>
    </w:p>
    <w:p w14:paraId="494B66FA">
      <w:pPr>
        <w:pStyle w:val="161"/>
      </w:pPr>
      <w:r>
        <w:rPr>
          <w:rFonts w:hint="eastAsia"/>
          <w:b/>
        </w:rPr>
        <w:t>4.2.3　</w:t>
      </w:r>
      <w:r>
        <w:rPr>
          <w:rFonts w:hint="eastAsia"/>
        </w:rPr>
        <w:t>AIS接收设备应具备处理航道繁忙时段AIS报文高频发送的数据处理能力。</w:t>
      </w:r>
    </w:p>
    <w:p w14:paraId="6CBA719D">
      <w:pPr>
        <w:pStyle w:val="161"/>
      </w:pPr>
      <w:r>
        <w:rPr>
          <w:rFonts w:hint="eastAsia"/>
          <w:b/>
        </w:rPr>
        <w:t>4.2.4　</w:t>
      </w:r>
      <w:r>
        <w:rPr>
          <w:rFonts w:hint="eastAsia"/>
        </w:rPr>
        <w:t>雷达的监测距离不应小于1km，速度精度不应大于0.5km/h，方位精度不应大于0.1°。</w:t>
      </w:r>
    </w:p>
    <w:p w14:paraId="47A58A59">
      <w:pPr>
        <w:pStyle w:val="161"/>
      </w:pPr>
      <w:r>
        <w:rPr>
          <w:rFonts w:hint="eastAsia"/>
          <w:b/>
        </w:rPr>
        <w:t>4.2.5　</w:t>
      </w:r>
      <w:r>
        <w:rPr>
          <w:rFonts w:hint="eastAsia"/>
        </w:rPr>
        <w:t>视频监测可采用遥控网络摄像机，宜具备低照度、透雾功能。摄像机像素不应小于200万，帧率不应小于25 FPS，宜具备昼夜自动转换功能、防护罩。</w:t>
      </w:r>
    </w:p>
    <w:p w14:paraId="34B94AFB">
      <w:pPr>
        <w:pStyle w:val="161"/>
      </w:pPr>
      <w:r>
        <w:rPr>
          <w:rFonts w:hint="eastAsia"/>
          <w:b/>
        </w:rPr>
        <w:t>4.2.6　</w:t>
      </w:r>
      <w:r>
        <w:rPr>
          <w:rFonts w:hint="eastAsia"/>
        </w:rPr>
        <w:t>激光对射装置应采用多束光结构，宜具备穿透风、霜、雨、雪、雾、沙尘等复杂环境能力。</w:t>
      </w:r>
    </w:p>
    <w:p w14:paraId="437E4012">
      <w:pPr>
        <w:pStyle w:val="161"/>
      </w:pPr>
      <w:r>
        <w:rPr>
          <w:rFonts w:hint="eastAsia"/>
          <w:b/>
        </w:rPr>
        <w:t>4.2.7　</w:t>
      </w:r>
      <w:r>
        <w:rPr>
          <w:rFonts w:hint="eastAsia"/>
        </w:rPr>
        <w:t>加速度计、水位计、流速计等传感器应根据现场安装条件与监测需求选型。</w:t>
      </w:r>
    </w:p>
    <w:p w14:paraId="5D6CD7EA">
      <w:pPr>
        <w:pStyle w:val="161"/>
      </w:pPr>
      <w:r>
        <w:rPr>
          <w:rFonts w:hint="eastAsia"/>
          <w:b/>
        </w:rPr>
        <w:t>4.2.8　</w:t>
      </w:r>
      <w:r>
        <w:rPr>
          <w:rFonts w:hint="eastAsia"/>
        </w:rPr>
        <w:t>桥梁通航孔区域应布设监测桥墩等关键构件的高清摄像机，获取撞击全程过的直观影像信息。</w:t>
      </w:r>
    </w:p>
    <w:p w14:paraId="33A422FF">
      <w:pPr>
        <w:pStyle w:val="161"/>
      </w:pPr>
      <w:r>
        <w:rPr>
          <w:rFonts w:hint="eastAsia"/>
          <w:b/>
        </w:rPr>
        <w:t>4.2.9　</w:t>
      </w:r>
      <w:r>
        <w:rPr>
          <w:rFonts w:hint="eastAsia"/>
        </w:rPr>
        <w:t>桥梁非通航孔区域宜布设监测桥墩等关键构件的高清摄像机。</w:t>
      </w:r>
    </w:p>
    <w:p w14:paraId="3ADF5532">
      <w:pPr>
        <w:pStyle w:val="161"/>
      </w:pPr>
      <w:r>
        <w:rPr>
          <w:rFonts w:hint="eastAsia"/>
          <w:b/>
        </w:rPr>
        <w:t>4.2.10　</w:t>
      </w:r>
      <w:r>
        <w:rPr>
          <w:rFonts w:hint="eastAsia"/>
        </w:rPr>
        <w:t>防船撞设施监测所采用的加速度类传感器的采样频率不应低于50Hz。</w:t>
      </w:r>
    </w:p>
    <w:p w14:paraId="24D440B9">
      <w:pPr>
        <w:pStyle w:val="161"/>
      </w:pPr>
      <w:r>
        <w:rPr>
          <w:rFonts w:hint="eastAsia"/>
          <w:b/>
        </w:rPr>
        <w:t>4.2.11　</w:t>
      </w:r>
      <w:r>
        <w:rPr>
          <w:rFonts w:hint="eastAsia"/>
        </w:rPr>
        <w:t>防船撞设施监测设备宜具有事件触发功能，在撞击发生时可自动提高采样频率。</w:t>
      </w:r>
    </w:p>
    <w:p w14:paraId="7DC3BFB6">
      <w:pPr>
        <w:pStyle w:val="159"/>
      </w:pPr>
      <w:bookmarkStart w:id="20" w:name="_Toc221528681"/>
      <w:bookmarkStart w:id="21" w:name="_Toc221528752"/>
      <w:r>
        <w:rPr>
          <w:rFonts w:hint="eastAsia"/>
        </w:rPr>
        <w:t>4.3  测点布置</w:t>
      </w:r>
      <w:bookmarkEnd w:id="20"/>
      <w:bookmarkEnd w:id="21"/>
    </w:p>
    <w:p w14:paraId="599EA665">
      <w:pPr>
        <w:pStyle w:val="161"/>
      </w:pPr>
      <w:r>
        <w:rPr>
          <w:rFonts w:hint="eastAsia"/>
          <w:b/>
        </w:rPr>
        <w:t>4.3.1　</w:t>
      </w:r>
      <w:r>
        <w:rPr>
          <w:rFonts w:hint="eastAsia"/>
        </w:rPr>
        <w:t>监测点布置应根据构筑物特点、监测内容和设备性能确定，应遵循因地制宜、全面覆盖、避免盲区的基本原则。</w:t>
      </w:r>
    </w:p>
    <w:p w14:paraId="36626581">
      <w:pPr>
        <w:pStyle w:val="161"/>
      </w:pPr>
      <w:r>
        <w:rPr>
          <w:rFonts w:hint="eastAsia"/>
          <w:b/>
        </w:rPr>
        <w:t>4.3.2　</w:t>
      </w:r>
      <w:r>
        <w:rPr>
          <w:rFonts w:hint="eastAsia"/>
        </w:rPr>
        <w:t>监测测点布置应考虑未来航道发展、船舶大型化趋势以及技术更新迭代，应预留接口和安装位置。</w:t>
      </w:r>
    </w:p>
    <w:p w14:paraId="77DCE685">
      <w:pPr>
        <w:pStyle w:val="161"/>
      </w:pPr>
      <w:r>
        <w:rPr>
          <w:rFonts w:hint="eastAsia"/>
          <w:b/>
        </w:rPr>
        <w:t>4.3.3　</w:t>
      </w:r>
      <w:r>
        <w:rPr>
          <w:rFonts w:hint="eastAsia"/>
        </w:rPr>
        <w:t>设备布置点位应形成交叉覆盖，关键监测位置宜采用不同技术原理的设备进行多源监测。</w:t>
      </w:r>
    </w:p>
    <w:p w14:paraId="7084624B">
      <w:pPr>
        <w:pStyle w:val="161"/>
      </w:pPr>
      <w:r>
        <w:rPr>
          <w:rFonts w:hint="eastAsia"/>
          <w:b/>
        </w:rPr>
        <w:t>4.3.4　</w:t>
      </w:r>
      <w:r>
        <w:rPr>
          <w:rFonts w:hint="eastAsia"/>
        </w:rPr>
        <w:t>监测设备宜设置在稳定的环境中。</w:t>
      </w:r>
    </w:p>
    <w:p w14:paraId="21BBB954">
      <w:pPr>
        <w:pStyle w:val="161"/>
      </w:pPr>
      <w:r>
        <w:rPr>
          <w:rFonts w:hint="eastAsia"/>
          <w:b/>
        </w:rPr>
        <w:t>4.3.5　</w:t>
      </w:r>
      <w:r>
        <w:rPr>
          <w:rFonts w:hint="eastAsia"/>
        </w:rPr>
        <w:t>监测点位应选择在便于日常巡检、维护和快速抢修的位置。</w:t>
      </w:r>
    </w:p>
    <w:p w14:paraId="39C19C84">
      <w:pPr>
        <w:pStyle w:val="161"/>
      </w:pPr>
      <w:r>
        <w:rPr>
          <w:rFonts w:hint="eastAsia"/>
          <w:b/>
        </w:rPr>
        <w:t>4.3.6　</w:t>
      </w:r>
      <w:r>
        <w:rPr>
          <w:rFonts w:hint="eastAsia"/>
        </w:rPr>
        <w:t>监测设备宜优先利用水上构筑物自身结构或河岸既有设施进行集约化安装，宜避免独立立杆安装。</w:t>
      </w:r>
    </w:p>
    <w:p w14:paraId="539E34FD">
      <w:pPr>
        <w:pStyle w:val="161"/>
      </w:pPr>
      <w:r>
        <w:rPr>
          <w:rFonts w:hint="eastAsia"/>
          <w:b/>
        </w:rPr>
        <w:t>4.3.7　</w:t>
      </w:r>
      <w:r>
        <w:rPr>
          <w:rFonts w:hint="eastAsia"/>
        </w:rPr>
        <w:t>桥梁防船撞监测设备的监测范围应覆盖通航孔、主航道等高风险撞击区域。</w:t>
      </w:r>
    </w:p>
    <w:p w14:paraId="7763C139">
      <w:pPr>
        <w:pStyle w:val="161"/>
      </w:pPr>
      <w:r>
        <w:rPr>
          <w:rFonts w:hint="eastAsia"/>
          <w:b/>
        </w:rPr>
        <w:t>4.3.8　</w:t>
      </w:r>
      <w:r>
        <w:rPr>
          <w:rFonts w:hint="eastAsia"/>
        </w:rPr>
        <w:t>桥梁防船撞监测测点可参照附录A.1~A.5进行布置。</w:t>
      </w:r>
    </w:p>
    <w:p w14:paraId="48F89673">
      <w:pPr>
        <w:pStyle w:val="161"/>
      </w:pPr>
      <w:r>
        <w:rPr>
          <w:rFonts w:hint="eastAsia"/>
          <w:b/>
        </w:rPr>
        <w:t>4.3.9　</w:t>
      </w:r>
      <w:r>
        <w:rPr>
          <w:rFonts w:hint="eastAsia"/>
        </w:rPr>
        <w:t>水上房屋监测测点宜布置于视野开阔、无遮挡的屋顶或高位平台，监测测点可参照附录A.6进行布置。</w:t>
      </w:r>
    </w:p>
    <w:p w14:paraId="03B0A59A">
      <w:pPr>
        <w:pStyle w:val="161"/>
      </w:pPr>
      <w:r>
        <w:rPr>
          <w:rFonts w:hint="eastAsia"/>
          <w:b/>
        </w:rPr>
        <w:t>4.3.10　</w:t>
      </w:r>
      <w:r>
        <w:rPr>
          <w:rFonts w:hint="eastAsia"/>
        </w:rPr>
        <w:t>钻井平台监测测点布设宜形成完整的环向覆盖，宜避免桩腿、上部组块、吊机等造成的遮挡，监测测点可参照附录A.7进行布置。</w:t>
      </w:r>
    </w:p>
    <w:p w14:paraId="2ACDC709">
      <w:pPr>
        <w:pStyle w:val="161"/>
      </w:pPr>
      <w:r>
        <w:rPr>
          <w:rFonts w:hint="eastAsia"/>
          <w:b/>
        </w:rPr>
        <w:t>4.3.11　</w:t>
      </w:r>
      <w:r>
        <w:rPr>
          <w:rFonts w:hint="eastAsia"/>
        </w:rPr>
        <w:t>海上风电场监测测点布设应保证机组阵列通道、运维通道及场区边界的连续覆盖，监测测点可参照附录A.8进行布置。</w:t>
      </w:r>
    </w:p>
    <w:p w14:paraId="33595FB0">
      <w:pPr>
        <w:pStyle w:val="161"/>
      </w:pPr>
      <w:r>
        <w:rPr>
          <w:rFonts w:hint="eastAsia"/>
          <w:b/>
        </w:rPr>
        <w:t>4.3.12　</w:t>
      </w:r>
      <w:r>
        <w:rPr>
          <w:rFonts w:hint="eastAsia"/>
        </w:rPr>
        <w:t>码头监测测点布设应结合码头岸线布置、泊位形式及作业水域特点，形成沿岸向与靠泊方向的连续监测带，监测测点可参照附录A.9和A.10进行布置。</w:t>
      </w:r>
    </w:p>
    <w:p w14:paraId="06B8BE5B">
      <w:pPr>
        <w:pStyle w:val="161"/>
      </w:pPr>
      <w:r>
        <w:rPr>
          <w:rFonts w:hint="eastAsia"/>
          <w:b/>
        </w:rPr>
        <w:t>4.3.13　</w:t>
      </w:r>
      <w:r>
        <w:rPr>
          <w:rFonts w:hint="eastAsia"/>
        </w:rPr>
        <w:t>防船撞设施的监测设备布设不应影响设施的吸能、变形和复位性能。</w:t>
      </w:r>
    </w:p>
    <w:p w14:paraId="786B4D3F">
      <w:pPr>
        <w:pStyle w:val="161"/>
      </w:pPr>
      <w:r>
        <w:rPr>
          <w:rFonts w:hint="eastAsia"/>
          <w:b/>
        </w:rPr>
        <w:t>4.3.14　</w:t>
      </w:r>
      <w:r>
        <w:rPr>
          <w:rFonts w:hint="eastAsia"/>
        </w:rPr>
        <w:t>防船撞设施监测测点布设宜符合下列规定：</w:t>
      </w:r>
    </w:p>
    <w:p w14:paraId="477F5FD3">
      <w:pPr>
        <w:pStyle w:val="167"/>
      </w:pPr>
      <w:r>
        <w:rPr>
          <w:rFonts w:hint="eastAsia"/>
        </w:rPr>
        <w:t>a)</w:t>
      </w:r>
      <w:r>
        <w:rPr>
          <w:rFonts w:hint="eastAsia"/>
        </w:rPr>
        <w:tab/>
      </w:r>
      <w:r>
        <w:rPr>
          <w:rFonts w:hint="eastAsia"/>
        </w:rPr>
        <w:t>附着式防船撞构件的受撞击侧墩体顶部宜布置加速度计；钢丝绳端部宜布设张力或应变测点；</w:t>
      </w:r>
    </w:p>
    <w:p w14:paraId="7C8BF7E4">
      <w:pPr>
        <w:pStyle w:val="167"/>
      </w:pPr>
      <w:r>
        <w:rPr>
          <w:rFonts w:hint="eastAsia"/>
        </w:rPr>
        <w:t>b)</w:t>
      </w:r>
      <w:r>
        <w:rPr>
          <w:rFonts w:hint="eastAsia"/>
        </w:rPr>
        <w:tab/>
      </w:r>
      <w:r>
        <w:rPr>
          <w:rFonts w:hint="eastAsia"/>
        </w:rPr>
        <w:t>独立式防船撞设施的墩体顶部及冲击侧宜布置三向加速度计和倾角传感器，宜设置位移或GNSS测点监测试体偏移；</w:t>
      </w:r>
    </w:p>
    <w:p w14:paraId="20B1E8A8">
      <w:pPr>
        <w:pStyle w:val="167"/>
      </w:pPr>
      <w:r>
        <w:rPr>
          <w:rFonts w:hint="eastAsia"/>
        </w:rPr>
        <w:t>c)</w:t>
      </w:r>
      <w:r>
        <w:rPr>
          <w:rFonts w:hint="eastAsia"/>
        </w:rPr>
        <w:tab/>
      </w:r>
      <w:r>
        <w:rPr>
          <w:rFonts w:hint="eastAsia"/>
        </w:rPr>
        <w:t>浮筒和缆索系统宜在浮体两端布置惯性测量单元监测姿态与漂移，宜在缆索或锚固点处布置拉力传感器进行索力监测。</w:t>
      </w:r>
    </w:p>
    <w:p w14:paraId="64372E33">
      <w:pPr>
        <w:pStyle w:val="159"/>
      </w:pPr>
      <w:bookmarkStart w:id="22" w:name="_Toc221528682"/>
      <w:bookmarkStart w:id="23" w:name="_Toc221528753"/>
      <w:r>
        <w:rPr>
          <w:rFonts w:hint="eastAsia"/>
        </w:rPr>
        <w:t>4.4  监测系统</w:t>
      </w:r>
      <w:bookmarkEnd w:id="22"/>
      <w:bookmarkEnd w:id="23"/>
    </w:p>
    <w:p w14:paraId="33F44B12">
      <w:pPr>
        <w:pStyle w:val="161"/>
      </w:pPr>
      <w:r>
        <w:rPr>
          <w:rFonts w:hint="eastAsia"/>
          <w:b/>
        </w:rPr>
        <w:t>4.4.1　</w:t>
      </w:r>
      <w:r>
        <w:rPr>
          <w:rFonts w:hint="eastAsia"/>
        </w:rPr>
        <w:t>监测系统应满足各个子系统和模块的兼容性、数据传输可靠性、系统整体稳定性、环境适应性、可扩展性与技术先进性。</w:t>
      </w:r>
    </w:p>
    <w:p w14:paraId="3DF0C4A3">
      <w:pPr>
        <w:pStyle w:val="161"/>
      </w:pPr>
      <w:r>
        <w:rPr>
          <w:rFonts w:hint="eastAsia"/>
          <w:b/>
        </w:rPr>
        <w:t>4.4.2　</w:t>
      </w:r>
      <w:r>
        <w:rPr>
          <w:rFonts w:hint="eastAsia"/>
        </w:rPr>
        <w:t>监测系统应进行系统集成设计，并应符合以下规定：</w:t>
      </w:r>
    </w:p>
    <w:p w14:paraId="58B4658C">
      <w:pPr>
        <w:pStyle w:val="167"/>
      </w:pPr>
      <w:r>
        <w:rPr>
          <w:rFonts w:hint="eastAsia"/>
        </w:rPr>
        <w:t>a)</w:t>
      </w:r>
      <w:r>
        <w:rPr>
          <w:rFonts w:hint="eastAsia"/>
        </w:rPr>
        <w:tab/>
      </w:r>
      <w:r>
        <w:rPr>
          <w:rFonts w:hint="eastAsia"/>
        </w:rPr>
        <w:t>系统集成应包括硬件集成、软件集成和工具平台集成；</w:t>
      </w:r>
    </w:p>
    <w:p w14:paraId="1BA89EE0">
      <w:pPr>
        <w:pStyle w:val="167"/>
      </w:pPr>
      <w:r>
        <w:rPr>
          <w:rFonts w:hint="eastAsia"/>
        </w:rPr>
        <w:t>b)</w:t>
      </w:r>
      <w:r>
        <w:rPr>
          <w:rFonts w:hint="eastAsia"/>
        </w:rPr>
        <w:tab/>
      </w:r>
      <w:r>
        <w:rPr>
          <w:rFonts w:hint="eastAsia"/>
        </w:rPr>
        <w:t>硬件集成应考虑匹配性，并兼顾系统定期扩容的便捷性；</w:t>
      </w:r>
    </w:p>
    <w:p w14:paraId="2EE3CA3F">
      <w:pPr>
        <w:pStyle w:val="167"/>
      </w:pPr>
      <w:r>
        <w:rPr>
          <w:rFonts w:hint="eastAsia"/>
        </w:rPr>
        <w:t>c)</w:t>
      </w:r>
      <w:r>
        <w:rPr>
          <w:rFonts w:hint="eastAsia"/>
        </w:rPr>
        <w:tab/>
      </w:r>
      <w:r>
        <w:rPr>
          <w:rFonts w:hint="eastAsia"/>
        </w:rPr>
        <w:t>系统集成应基于统一软件工具平台开发，应采用模块化、单元化、标准化设计，满足软硬件模块无缝连接要求；</w:t>
      </w:r>
    </w:p>
    <w:p w14:paraId="73D2A8AD">
      <w:pPr>
        <w:pStyle w:val="167"/>
      </w:pPr>
      <w:r>
        <w:rPr>
          <w:rFonts w:hint="eastAsia"/>
        </w:rPr>
        <w:t>d)</w:t>
      </w:r>
      <w:r>
        <w:rPr>
          <w:rFonts w:hint="eastAsia"/>
        </w:rPr>
        <w:tab/>
      </w:r>
      <w:r>
        <w:rPr>
          <w:rFonts w:hint="eastAsia"/>
        </w:rPr>
        <w:t>系统集成应通过工具平台实现硬件和软件最优配置，形成完整的集成方案；</w:t>
      </w:r>
    </w:p>
    <w:p w14:paraId="739DF439">
      <w:pPr>
        <w:pStyle w:val="167"/>
      </w:pPr>
      <w:r>
        <w:rPr>
          <w:rFonts w:hint="eastAsia"/>
        </w:rPr>
        <w:t>e)</w:t>
      </w:r>
      <w:r>
        <w:rPr>
          <w:rFonts w:hint="eastAsia"/>
        </w:rPr>
        <w:tab/>
      </w:r>
      <w:r>
        <w:rPr>
          <w:rFonts w:hint="eastAsia"/>
        </w:rPr>
        <w:t>系统集成应支持统一时间同步机制，可采用 GPS、北斗或高精度网络时钟；</w:t>
      </w:r>
    </w:p>
    <w:p w14:paraId="0DAF26D2">
      <w:pPr>
        <w:pStyle w:val="167"/>
      </w:pPr>
      <w:r>
        <w:rPr>
          <w:rFonts w:hint="eastAsia"/>
        </w:rPr>
        <w:t>f)</w:t>
      </w:r>
      <w:r>
        <w:rPr>
          <w:rFonts w:hint="eastAsia"/>
        </w:rPr>
        <w:tab/>
      </w:r>
      <w:r>
        <w:rPr>
          <w:rFonts w:hint="eastAsia"/>
        </w:rPr>
        <w:t>系统集成应支持数据接口标准化，宜采用统一数据格式和通信协议，满足各类监测设备快速接入与扩展的要求。</w:t>
      </w:r>
    </w:p>
    <w:p w14:paraId="1371005D">
      <w:pPr>
        <w:pStyle w:val="161"/>
      </w:pPr>
      <w:r>
        <w:rPr>
          <w:rFonts w:hint="eastAsia"/>
          <w:b/>
        </w:rPr>
        <w:t>4.4.3　</w:t>
      </w:r>
      <w:r>
        <w:rPr>
          <w:rFonts w:hint="eastAsia"/>
        </w:rPr>
        <w:t>监测系统应进行可视化设计，并应符合以下规定：</w:t>
      </w:r>
    </w:p>
    <w:p w14:paraId="71279A7E">
      <w:pPr>
        <w:pStyle w:val="167"/>
      </w:pPr>
      <w:r>
        <w:rPr>
          <w:rFonts w:hint="eastAsia"/>
        </w:rPr>
        <w:t>a)</w:t>
      </w:r>
      <w:r>
        <w:rPr>
          <w:rFonts w:hint="eastAsia"/>
        </w:rPr>
        <w:tab/>
      </w:r>
      <w:r>
        <w:rPr>
          <w:rFonts w:hint="eastAsia"/>
        </w:rPr>
        <w:t>可视化界面应能对各模块功能参数进行在线设置和修改；</w:t>
      </w:r>
    </w:p>
    <w:p w14:paraId="175EC225">
      <w:pPr>
        <w:pStyle w:val="167"/>
      </w:pPr>
      <w:r>
        <w:rPr>
          <w:rFonts w:hint="eastAsia"/>
        </w:rPr>
        <w:t>b)</w:t>
      </w:r>
      <w:r>
        <w:rPr>
          <w:rFonts w:hint="eastAsia"/>
        </w:rPr>
        <w:tab/>
      </w:r>
      <w:r>
        <w:rPr>
          <w:rFonts w:hint="eastAsia"/>
        </w:rPr>
        <w:t>系统可视化应具有友好的、符合专业操作习惯的用户界面；</w:t>
      </w:r>
    </w:p>
    <w:p w14:paraId="294ACE59">
      <w:pPr>
        <w:pStyle w:val="167"/>
      </w:pPr>
      <w:r>
        <w:rPr>
          <w:rFonts w:hint="eastAsia"/>
        </w:rPr>
        <w:t>c)</w:t>
      </w:r>
      <w:r>
        <w:rPr>
          <w:rFonts w:hint="eastAsia"/>
        </w:rPr>
        <w:tab/>
      </w:r>
      <w:r>
        <w:rPr>
          <w:rFonts w:hint="eastAsia"/>
        </w:rPr>
        <w:t>可视化界面应能清晰地显示通航环境信息与监测数据、数据采集与传输工作状态、数据处理与分析结果、安全预警信息及评估结果。</w:t>
      </w:r>
    </w:p>
    <w:p w14:paraId="35DAFC0F">
      <w:pPr>
        <w:pStyle w:val="161"/>
      </w:pPr>
      <w:r>
        <w:rPr>
          <w:rFonts w:hint="eastAsia"/>
          <w:b/>
        </w:rPr>
        <w:t>4.4.4　</w:t>
      </w:r>
      <w:r>
        <w:rPr>
          <w:rFonts w:hint="eastAsia"/>
        </w:rPr>
        <w:t>监测系统应进行联网设计，并应符合以下规定：</w:t>
      </w:r>
    </w:p>
    <w:p w14:paraId="2D04891E">
      <w:pPr>
        <w:pStyle w:val="167"/>
      </w:pPr>
      <w:r>
        <w:rPr>
          <w:rFonts w:hint="eastAsia"/>
        </w:rPr>
        <w:t>a)</w:t>
      </w:r>
      <w:r>
        <w:rPr>
          <w:rFonts w:hint="eastAsia"/>
        </w:rPr>
        <w:tab/>
      </w:r>
      <w:r>
        <w:rPr>
          <w:rFonts w:hint="eastAsia"/>
        </w:rPr>
        <w:t>应建立网络安全应急工作机制，对系统信息安全实行分级管理；</w:t>
      </w:r>
    </w:p>
    <w:p w14:paraId="220D0A2F">
      <w:pPr>
        <w:pStyle w:val="167"/>
      </w:pPr>
      <w:r>
        <w:rPr>
          <w:rFonts w:hint="eastAsia"/>
        </w:rPr>
        <w:t>b)</w:t>
      </w:r>
      <w:r>
        <w:rPr>
          <w:rFonts w:hint="eastAsia"/>
        </w:rPr>
        <w:tab/>
      </w:r>
      <w:r>
        <w:rPr>
          <w:rFonts w:hint="eastAsia"/>
        </w:rPr>
        <w:t>应采用防火墙技术实现核心应用层与互联网之间的安全阻断与隔离，各应用服务器采取安全防护措施以阻断木马程序、病毒的传播；</w:t>
      </w:r>
    </w:p>
    <w:p w14:paraId="694C6F15">
      <w:pPr>
        <w:pStyle w:val="167"/>
      </w:pPr>
      <w:r>
        <w:rPr>
          <w:rFonts w:hint="eastAsia"/>
        </w:rPr>
        <w:t>c)</w:t>
      </w:r>
      <w:r>
        <w:rPr>
          <w:rFonts w:hint="eastAsia"/>
        </w:rPr>
        <w:tab/>
      </w:r>
      <w:r>
        <w:rPr>
          <w:rFonts w:hint="eastAsia"/>
        </w:rPr>
        <w:t>系统宜采用加密传输协议，应满足数据在网络传输过程中的安全性；</w:t>
      </w:r>
    </w:p>
    <w:p w14:paraId="344E79CE">
      <w:pPr>
        <w:pStyle w:val="167"/>
      </w:pPr>
      <w:r>
        <w:rPr>
          <w:rFonts w:hint="eastAsia"/>
        </w:rPr>
        <w:t>d)</w:t>
      </w:r>
      <w:r>
        <w:rPr>
          <w:rFonts w:hint="eastAsia"/>
        </w:rPr>
        <w:tab/>
      </w:r>
      <w:r>
        <w:rPr>
          <w:rFonts w:hint="eastAsia"/>
        </w:rPr>
        <w:t>应按照管理角色及职责为不同用户设置相应权限，并配置对应的系统使用功能和办公角色。</w:t>
      </w:r>
      <w:r>
        <w:br w:type="page"/>
      </w:r>
    </w:p>
    <w:p w14:paraId="41A3B35F">
      <w:pPr>
        <w:pStyle w:val="158"/>
      </w:pPr>
      <w:bookmarkStart w:id="24" w:name="_Toc221528683"/>
      <w:bookmarkStart w:id="25" w:name="_Toc221528754"/>
      <w:r>
        <w:rPr>
          <w:rFonts w:hint="eastAsia"/>
          <w:lang w:eastAsia="zh-CN"/>
        </w:rPr>
        <w:t xml:space="preserve">5  </w:t>
      </w:r>
      <w:r>
        <w:rPr>
          <w:rFonts w:hint="eastAsia"/>
        </w:rPr>
        <w:t>监测数据管理</w:t>
      </w:r>
      <w:bookmarkEnd w:id="24"/>
      <w:bookmarkEnd w:id="25"/>
    </w:p>
    <w:p w14:paraId="40250DB1">
      <w:pPr>
        <w:pStyle w:val="159"/>
      </w:pPr>
      <w:bookmarkStart w:id="26" w:name="_Toc221528684"/>
      <w:bookmarkStart w:id="27" w:name="_Toc221528755"/>
      <w:r>
        <w:rPr>
          <w:rFonts w:hint="eastAsia"/>
        </w:rPr>
        <w:t>5.1  一般规定</w:t>
      </w:r>
      <w:bookmarkEnd w:id="26"/>
      <w:bookmarkEnd w:id="27"/>
    </w:p>
    <w:p w14:paraId="688B1265">
      <w:pPr>
        <w:pStyle w:val="161"/>
      </w:pPr>
      <w:r>
        <w:rPr>
          <w:rFonts w:hint="eastAsia"/>
          <w:b/>
        </w:rPr>
        <w:t>5.1.1　</w:t>
      </w:r>
      <w:r>
        <w:rPr>
          <w:rFonts w:hint="eastAsia"/>
        </w:rPr>
        <w:t>防船撞监测系统应具备监测数据管理功能，监测数据管理应涵盖数据采集、数据编码、数据传输、数据处理、数据分析、数据存储、数据交互与数据安全。</w:t>
      </w:r>
    </w:p>
    <w:p w14:paraId="3A4D9764">
      <w:pPr>
        <w:pStyle w:val="161"/>
      </w:pPr>
      <w:r>
        <w:rPr>
          <w:rFonts w:hint="eastAsia"/>
          <w:b/>
        </w:rPr>
        <w:t>5.1.2　</w:t>
      </w:r>
      <w:r>
        <w:rPr>
          <w:rFonts w:hint="eastAsia"/>
        </w:rPr>
        <w:t>监测数据的采集、传输、存储和管理应满足安全性、完整性、准确性、一致性、时效性、可访问性的要求。</w:t>
      </w:r>
    </w:p>
    <w:p w14:paraId="4DB5A3FB">
      <w:pPr>
        <w:pStyle w:val="159"/>
      </w:pPr>
      <w:bookmarkStart w:id="28" w:name="_Toc221528685"/>
      <w:bookmarkStart w:id="29" w:name="_Toc221528756"/>
      <w:r>
        <w:rPr>
          <w:rFonts w:hint="eastAsia"/>
        </w:rPr>
        <w:t>5.2  数据采集</w:t>
      </w:r>
      <w:bookmarkEnd w:id="28"/>
      <w:bookmarkEnd w:id="29"/>
    </w:p>
    <w:p w14:paraId="4C60A70E">
      <w:pPr>
        <w:pStyle w:val="161"/>
      </w:pPr>
      <w:r>
        <w:rPr>
          <w:rFonts w:hint="eastAsia"/>
          <w:b/>
        </w:rPr>
        <w:t>5.2.1　</w:t>
      </w:r>
      <w:r>
        <w:rPr>
          <w:rFonts w:hint="eastAsia"/>
        </w:rPr>
        <w:t>监测设备与采集设备之间应有明确的拓扑关系。</w:t>
      </w:r>
    </w:p>
    <w:p w14:paraId="32F599E1">
      <w:pPr>
        <w:pStyle w:val="161"/>
      </w:pPr>
      <w:r>
        <w:rPr>
          <w:rFonts w:hint="eastAsia"/>
          <w:b/>
        </w:rPr>
        <w:t>5.2.2　</w:t>
      </w:r>
      <w:r>
        <w:rPr>
          <w:rFonts w:hint="eastAsia"/>
        </w:rPr>
        <w:t>数据采集方式可采用定时采集、触发式采集或两者相结合的混合方式。</w:t>
      </w:r>
    </w:p>
    <w:p w14:paraId="131D25C2">
      <w:pPr>
        <w:pStyle w:val="161"/>
      </w:pPr>
      <w:r>
        <w:rPr>
          <w:rFonts w:hint="eastAsia"/>
          <w:b/>
        </w:rPr>
        <w:t>5.2.3　</w:t>
      </w:r>
      <w:r>
        <w:rPr>
          <w:rFonts w:hint="eastAsia"/>
        </w:rPr>
        <w:t>监测数据采样频率应满足采样定理。视频采样频率不应小于25 FPS。</w:t>
      </w:r>
    </w:p>
    <w:p w14:paraId="603E2EDC">
      <w:pPr>
        <w:pStyle w:val="161"/>
      </w:pPr>
      <w:r>
        <w:rPr>
          <w:rFonts w:hint="eastAsia"/>
          <w:b/>
        </w:rPr>
        <w:t>5.2.4　</w:t>
      </w:r>
      <w:r>
        <w:rPr>
          <w:rFonts w:hint="eastAsia"/>
        </w:rPr>
        <w:t>做相关分析时，相关数据宜同步采集；否则，可选择伪同步采集或异步采集。</w:t>
      </w:r>
    </w:p>
    <w:p w14:paraId="4C988E47">
      <w:pPr>
        <w:pStyle w:val="161"/>
      </w:pPr>
      <w:r>
        <w:rPr>
          <w:rFonts w:hint="eastAsia"/>
          <w:b/>
        </w:rPr>
        <w:t>5.2.5　</w:t>
      </w:r>
      <w:r>
        <w:rPr>
          <w:rFonts w:hint="eastAsia"/>
        </w:rPr>
        <w:t>对于视频和图像数据，分辨率不应低于1920×1080。</w:t>
      </w:r>
    </w:p>
    <w:p w14:paraId="13972A43">
      <w:pPr>
        <w:pStyle w:val="161"/>
      </w:pPr>
      <w:r>
        <w:rPr>
          <w:rFonts w:hint="eastAsia"/>
          <w:b/>
        </w:rPr>
        <w:t>5.2.6　</w:t>
      </w:r>
      <w:r>
        <w:rPr>
          <w:rFonts w:hint="eastAsia"/>
        </w:rPr>
        <w:t>监测系统采集的数据宜以结构化形式输出。</w:t>
      </w:r>
    </w:p>
    <w:p w14:paraId="293D1878">
      <w:pPr>
        <w:pStyle w:val="159"/>
      </w:pPr>
      <w:bookmarkStart w:id="30" w:name="_Toc221528686"/>
      <w:bookmarkStart w:id="31" w:name="_Toc221528757"/>
      <w:r>
        <w:rPr>
          <w:rFonts w:hint="eastAsia"/>
        </w:rPr>
        <w:t>5.3  数据编码</w:t>
      </w:r>
      <w:bookmarkEnd w:id="30"/>
      <w:bookmarkEnd w:id="31"/>
    </w:p>
    <w:p w14:paraId="27E07C0D">
      <w:pPr>
        <w:pStyle w:val="161"/>
      </w:pPr>
      <w:r>
        <w:rPr>
          <w:rFonts w:hint="eastAsia"/>
          <w:b/>
        </w:rPr>
        <w:t>5.3.1　</w:t>
      </w:r>
      <w:r>
        <w:rPr>
          <w:rFonts w:hint="eastAsia"/>
        </w:rPr>
        <w:t>监测数据可参照JT/T 1037定义数据字典进行编码管理。</w:t>
      </w:r>
    </w:p>
    <w:p w14:paraId="6A03CAFF">
      <w:pPr>
        <w:pStyle w:val="161"/>
      </w:pPr>
      <w:r>
        <w:rPr>
          <w:rFonts w:hint="eastAsia"/>
          <w:b/>
        </w:rPr>
        <w:t>5.3.2　</w:t>
      </w:r>
      <w:r>
        <w:rPr>
          <w:rFonts w:hint="eastAsia"/>
        </w:rPr>
        <w:t>监测数据应包含测点编码、数据采集时间及数值、数据状态等信息。</w:t>
      </w:r>
    </w:p>
    <w:p w14:paraId="2E8F9565">
      <w:pPr>
        <w:pStyle w:val="161"/>
      </w:pPr>
      <w:r>
        <w:rPr>
          <w:rFonts w:hint="eastAsia"/>
          <w:b/>
        </w:rPr>
        <w:t>5.3.3　</w:t>
      </w:r>
      <w:r>
        <w:rPr>
          <w:rFonts w:hint="eastAsia"/>
        </w:rPr>
        <w:t>监测测点编码应由“水上构筑物类别标识码 构筑物名简称-监测类别简称-监测设备名简称-测点编码”组成，水上构筑物监测测点编号命名规则如图2所示。</w:t>
      </w:r>
    </w:p>
    <w:p w14:paraId="556307BA">
      <w:pPr>
        <w:pStyle w:val="161"/>
      </w:pPr>
      <w:r>
        <mc:AlternateContent>
          <mc:Choice Requires="wpc">
            <w:drawing>
              <wp:inline distT="0" distB="0" distL="0" distR="0">
                <wp:extent cx="6024245" cy="1697355"/>
                <wp:effectExtent l="0" t="0" r="14605" b="0"/>
                <wp:docPr id="71" name="画布 71"/>
                <wp:cNvGraphicFramePr/>
                <a:graphic xmlns:a="http://schemas.openxmlformats.org/drawingml/2006/main">
                  <a:graphicData uri="http://schemas.microsoft.com/office/word/2010/wordprocessingCanvas">
                    <wpc:wpc>
                      <wpc:bg>
                        <a:noFill/>
                      </wpc:bg>
                      <wpc:whole>
                        <a:ln>
                          <a:noFill/>
                        </a:ln>
                      </wpc:whole>
                      <wps:wsp>
                        <wps:cNvPr id="21" name="矩形 21"/>
                        <wps:cNvSpPr>
                          <a:spLocks noChangeAspect="1"/>
                        </wps:cNvSpPr>
                        <wps:spPr>
                          <a:xfrm>
                            <a:off x="149044" y="115368"/>
                            <a:ext cx="108000" cy="1080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直接连接符 23"/>
                        <wps:cNvCnPr/>
                        <wps:spPr bwMode="auto">
                          <a:xfrm>
                            <a:off x="202566" y="251933"/>
                            <a:ext cx="0" cy="1098516"/>
                          </a:xfrm>
                          <a:prstGeom prst="line">
                            <a:avLst/>
                          </a:prstGeom>
                          <a:noFill/>
                          <a:ln w="9525">
                            <a:solidFill>
                              <a:srgbClr val="000000"/>
                            </a:solidFill>
                            <a:round/>
                          </a:ln>
                        </wps:spPr>
                        <wps:bodyPr/>
                      </wps:wsp>
                      <wps:wsp>
                        <wps:cNvPr id="24" name="直接连接符 24"/>
                        <wps:cNvCnPr/>
                        <wps:spPr bwMode="auto">
                          <a:xfrm>
                            <a:off x="145277" y="247017"/>
                            <a:ext cx="115200" cy="0"/>
                          </a:xfrm>
                          <a:prstGeom prst="line">
                            <a:avLst/>
                          </a:prstGeom>
                          <a:noFill/>
                          <a:ln w="9525">
                            <a:solidFill>
                              <a:srgbClr val="000000"/>
                            </a:solidFill>
                            <a:round/>
                          </a:ln>
                        </wps:spPr>
                        <wps:bodyPr/>
                      </wps:wsp>
                      <wps:wsp>
                        <wps:cNvPr id="26" name="矩形 26"/>
                        <wps:cNvSpPr>
                          <a:spLocks noChangeAspect="1"/>
                        </wps:cNvSpPr>
                        <wps:spPr>
                          <a:xfrm>
                            <a:off x="397283" y="115368"/>
                            <a:ext cx="108000" cy="1080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直接连接符 28"/>
                        <wps:cNvCnPr/>
                        <wps:spPr bwMode="auto">
                          <a:xfrm>
                            <a:off x="450805" y="251933"/>
                            <a:ext cx="0" cy="926049"/>
                          </a:xfrm>
                          <a:prstGeom prst="line">
                            <a:avLst/>
                          </a:prstGeom>
                          <a:noFill/>
                          <a:ln w="9525">
                            <a:solidFill>
                              <a:srgbClr val="000000"/>
                            </a:solidFill>
                            <a:round/>
                          </a:ln>
                        </wps:spPr>
                        <wps:bodyPr/>
                      </wps:wsp>
                      <wps:wsp>
                        <wps:cNvPr id="29" name="直接连接符 29"/>
                        <wps:cNvCnPr/>
                        <wps:spPr bwMode="auto">
                          <a:xfrm>
                            <a:off x="393516" y="247017"/>
                            <a:ext cx="115200" cy="0"/>
                          </a:xfrm>
                          <a:prstGeom prst="line">
                            <a:avLst/>
                          </a:prstGeom>
                          <a:noFill/>
                          <a:ln w="9525">
                            <a:solidFill>
                              <a:srgbClr val="000000"/>
                            </a:solidFill>
                            <a:round/>
                          </a:ln>
                        </wps:spPr>
                        <wps:bodyPr/>
                      </wps:wsp>
                      <wps:wsp>
                        <wps:cNvPr id="30" name="直接连接符 30"/>
                        <wps:cNvCnPr/>
                        <wps:spPr bwMode="auto">
                          <a:xfrm>
                            <a:off x="540745" y="169728"/>
                            <a:ext cx="54000" cy="0"/>
                          </a:xfrm>
                          <a:prstGeom prst="line">
                            <a:avLst/>
                          </a:prstGeom>
                          <a:noFill/>
                          <a:ln w="9525">
                            <a:solidFill>
                              <a:srgbClr val="000000"/>
                            </a:solidFill>
                            <a:round/>
                          </a:ln>
                        </wps:spPr>
                        <wps:bodyPr/>
                      </wps:wsp>
                      <wps:wsp>
                        <wps:cNvPr id="31" name="矩形 31"/>
                        <wps:cNvSpPr>
                          <a:spLocks noChangeAspect="1"/>
                        </wps:cNvSpPr>
                        <wps:spPr>
                          <a:xfrm>
                            <a:off x="642380" y="115368"/>
                            <a:ext cx="108000" cy="1080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直接连接符 32"/>
                        <wps:cNvCnPr/>
                        <wps:spPr bwMode="auto">
                          <a:xfrm>
                            <a:off x="695902" y="251933"/>
                            <a:ext cx="0" cy="564845"/>
                          </a:xfrm>
                          <a:prstGeom prst="line">
                            <a:avLst/>
                          </a:prstGeom>
                          <a:noFill/>
                          <a:ln w="9525">
                            <a:solidFill>
                              <a:srgbClr val="000000"/>
                            </a:solidFill>
                            <a:round/>
                          </a:ln>
                        </wps:spPr>
                        <wps:bodyPr/>
                      </wps:wsp>
                      <wps:wsp>
                        <wps:cNvPr id="33" name="直接连接符 33"/>
                        <wps:cNvCnPr/>
                        <wps:spPr bwMode="auto">
                          <a:xfrm>
                            <a:off x="638613" y="247017"/>
                            <a:ext cx="115200" cy="0"/>
                          </a:xfrm>
                          <a:prstGeom prst="line">
                            <a:avLst/>
                          </a:prstGeom>
                          <a:noFill/>
                          <a:ln w="9525">
                            <a:solidFill>
                              <a:srgbClr val="000000"/>
                            </a:solidFill>
                            <a:round/>
                          </a:ln>
                        </wps:spPr>
                        <wps:bodyPr/>
                      </wps:wsp>
                      <wps:wsp>
                        <wps:cNvPr id="34" name="直接连接符 34"/>
                        <wps:cNvCnPr/>
                        <wps:spPr bwMode="auto">
                          <a:xfrm>
                            <a:off x="785207" y="169728"/>
                            <a:ext cx="54000" cy="0"/>
                          </a:xfrm>
                          <a:prstGeom prst="line">
                            <a:avLst/>
                          </a:prstGeom>
                          <a:noFill/>
                          <a:ln w="9525">
                            <a:solidFill>
                              <a:srgbClr val="000000"/>
                            </a:solidFill>
                            <a:round/>
                          </a:ln>
                        </wps:spPr>
                        <wps:bodyPr/>
                      </wps:wsp>
                      <wps:wsp>
                        <wps:cNvPr id="35" name="矩形 35"/>
                        <wps:cNvSpPr>
                          <a:spLocks noChangeAspect="1"/>
                        </wps:cNvSpPr>
                        <wps:spPr>
                          <a:xfrm>
                            <a:off x="887477" y="115368"/>
                            <a:ext cx="108000" cy="1080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直接连接符 36"/>
                        <wps:cNvCnPr/>
                        <wps:spPr bwMode="auto">
                          <a:xfrm>
                            <a:off x="940999" y="251933"/>
                            <a:ext cx="0" cy="382615"/>
                          </a:xfrm>
                          <a:prstGeom prst="line">
                            <a:avLst/>
                          </a:prstGeom>
                          <a:noFill/>
                          <a:ln w="9525">
                            <a:solidFill>
                              <a:srgbClr val="000000"/>
                            </a:solidFill>
                            <a:round/>
                          </a:ln>
                        </wps:spPr>
                        <wps:bodyPr/>
                      </wps:wsp>
                      <wps:wsp>
                        <wps:cNvPr id="37" name="直接连接符 37"/>
                        <wps:cNvCnPr/>
                        <wps:spPr bwMode="auto">
                          <a:xfrm>
                            <a:off x="883710" y="247017"/>
                            <a:ext cx="115200" cy="0"/>
                          </a:xfrm>
                          <a:prstGeom prst="line">
                            <a:avLst/>
                          </a:prstGeom>
                          <a:noFill/>
                          <a:ln w="9525">
                            <a:solidFill>
                              <a:srgbClr val="000000"/>
                            </a:solidFill>
                            <a:round/>
                          </a:ln>
                        </wps:spPr>
                        <wps:bodyPr/>
                      </wps:wsp>
                      <wps:wsp>
                        <wps:cNvPr id="38" name="直接连接符 38"/>
                        <wps:cNvCnPr/>
                        <wps:spPr bwMode="auto">
                          <a:xfrm>
                            <a:off x="1029669" y="169728"/>
                            <a:ext cx="54000" cy="0"/>
                          </a:xfrm>
                          <a:prstGeom prst="line">
                            <a:avLst/>
                          </a:prstGeom>
                          <a:noFill/>
                          <a:ln w="9525">
                            <a:solidFill>
                              <a:srgbClr val="000000"/>
                            </a:solidFill>
                            <a:round/>
                          </a:ln>
                        </wps:spPr>
                        <wps:bodyPr/>
                      </wps:wsp>
                      <wps:wsp>
                        <wps:cNvPr id="43" name="矩形 43"/>
                        <wps:cNvSpPr>
                          <a:spLocks noChangeAspect="1"/>
                        </wps:cNvSpPr>
                        <wps:spPr>
                          <a:xfrm>
                            <a:off x="1135217" y="115368"/>
                            <a:ext cx="108000" cy="1080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直接连接符 48"/>
                        <wps:cNvCnPr/>
                        <wps:spPr bwMode="auto">
                          <a:xfrm>
                            <a:off x="1188739" y="251933"/>
                            <a:ext cx="0" cy="198112"/>
                          </a:xfrm>
                          <a:prstGeom prst="line">
                            <a:avLst/>
                          </a:prstGeom>
                          <a:noFill/>
                          <a:ln w="9525">
                            <a:solidFill>
                              <a:srgbClr val="000000"/>
                            </a:solidFill>
                            <a:round/>
                          </a:ln>
                        </wps:spPr>
                        <wps:bodyPr/>
                      </wps:wsp>
                      <wps:wsp>
                        <wps:cNvPr id="53" name="直接连接符 53"/>
                        <wps:cNvCnPr/>
                        <wps:spPr bwMode="auto">
                          <a:xfrm>
                            <a:off x="1131450" y="247017"/>
                            <a:ext cx="115200" cy="0"/>
                          </a:xfrm>
                          <a:prstGeom prst="line">
                            <a:avLst/>
                          </a:prstGeom>
                          <a:noFill/>
                          <a:ln w="9525">
                            <a:solidFill>
                              <a:srgbClr val="000000"/>
                            </a:solidFill>
                            <a:round/>
                          </a:ln>
                        </wps:spPr>
                        <wps:bodyPr/>
                      </wps:wsp>
                      <wps:wsp>
                        <wps:cNvPr id="57" name="文本框 57"/>
                        <wps:cNvSpPr txBox="1"/>
                        <wps:spPr>
                          <a:xfrm>
                            <a:off x="1402846" y="1260475"/>
                            <a:ext cx="2843335" cy="179705"/>
                          </a:xfrm>
                          <a:prstGeom prst="rect">
                            <a:avLst/>
                          </a:prstGeom>
                          <a:noFill/>
                          <a:ln w="6350">
                            <a:noFill/>
                          </a:ln>
                        </wps:spPr>
                        <wps:txbx>
                          <w:txbxContent>
                            <w:p w14:paraId="6963CBC4">
                              <w:r>
                                <w:rPr>
                                  <w:rFonts w:hint="eastAsia"/>
                                </w:rPr>
                                <w:t>水上构筑物类别标识码：由</w:t>
                              </w:r>
                              <w:r>
                                <w:t>2</w:t>
                              </w:r>
                              <w:r>
                                <w:rPr>
                                  <w:rFonts w:hint="eastAsia"/>
                                </w:rPr>
                                <w:t>位大写字母组成，</w:t>
                              </w:r>
                            </w:p>
                          </w:txbxContent>
                        </wps:txbx>
                        <wps:bodyPr rot="0" spcFirstLastPara="0" vertOverflow="overflow" horzOverflow="overflow" vert="horz" wrap="none" lIns="36000" tIns="0" rIns="0" bIns="0" numCol="1" spcCol="0" rtlCol="0" fromWordArt="0" anchor="t" anchorCtr="0" forceAA="0" compatLnSpc="1">
                          <a:noAutofit/>
                        </wps:bodyPr>
                      </wps:wsp>
                      <wps:wsp>
                        <wps:cNvPr id="58" name="文本框 58"/>
                        <wps:cNvSpPr txBox="1"/>
                        <wps:spPr>
                          <a:xfrm>
                            <a:off x="1403961" y="1080134"/>
                            <a:ext cx="3781865" cy="179705"/>
                          </a:xfrm>
                          <a:prstGeom prst="rect">
                            <a:avLst/>
                          </a:prstGeom>
                          <a:noFill/>
                          <a:ln w="6350">
                            <a:noFill/>
                          </a:ln>
                        </wps:spPr>
                        <wps:txbx>
                          <w:txbxContent>
                            <w:p w14:paraId="2455D325">
                              <w:r>
                                <w:rPr>
                                  <w:rFonts w:hint="eastAsia"/>
                                </w:rPr>
                                <w:t>构筑物名简称：由</w:t>
                              </w:r>
                              <w:r>
                                <w:t>2~5</w:t>
                              </w:r>
                              <w:r>
                                <w:rPr>
                                  <w:rFonts w:hint="eastAsia"/>
                                </w:rPr>
                                <w:t>位构筑物名称的汉语拼音大写字母组成。</w:t>
                              </w:r>
                            </w:p>
                          </w:txbxContent>
                        </wps:txbx>
                        <wps:bodyPr rot="0" spcFirstLastPara="0" vertOverflow="overflow" horzOverflow="overflow" vert="horz" wrap="none" lIns="36000" tIns="0" rIns="0" bIns="0" numCol="1" spcCol="0" rtlCol="0" fromWordArt="0" anchor="t" anchorCtr="0" forceAA="0" compatLnSpc="1">
                          <a:noAutofit/>
                        </wps:bodyPr>
                      </wps:wsp>
                      <wps:wsp>
                        <wps:cNvPr id="59" name="文本框 59"/>
                        <wps:cNvSpPr txBox="1"/>
                        <wps:spPr>
                          <a:xfrm>
                            <a:off x="1403854" y="720090"/>
                            <a:ext cx="3910135" cy="179705"/>
                          </a:xfrm>
                          <a:prstGeom prst="rect">
                            <a:avLst/>
                          </a:prstGeom>
                          <a:noFill/>
                          <a:ln w="6350">
                            <a:noFill/>
                          </a:ln>
                        </wps:spPr>
                        <wps:txbx>
                          <w:txbxContent>
                            <w:p w14:paraId="7B4A4AB5">
                              <w:r>
                                <w:rPr>
                                  <w:rFonts w:hint="eastAsia"/>
                                </w:rPr>
                                <w:t>监测类别简称：不同监测内容的英文简称，由</w:t>
                              </w:r>
                              <w:r>
                                <w:t>3</w:t>
                              </w:r>
                              <w:r>
                                <w:rPr>
                                  <w:rFonts w:hint="eastAsia"/>
                                </w:rPr>
                                <w:t>位大写字母组成，</w:t>
                              </w:r>
                            </w:p>
                          </w:txbxContent>
                        </wps:txbx>
                        <wps:bodyPr rot="0" spcFirstLastPara="0" vertOverflow="overflow" horzOverflow="overflow" vert="horz" wrap="none" lIns="36000" tIns="0" rIns="0" bIns="0" numCol="1" spcCol="0" rtlCol="0" fromWordArt="0" anchor="t" anchorCtr="0" forceAA="0" compatLnSpc="1">
                          <a:noAutofit/>
                        </wps:bodyPr>
                      </wps:wsp>
                      <wps:wsp>
                        <wps:cNvPr id="60" name="文本框 60"/>
                        <wps:cNvSpPr txBox="1"/>
                        <wps:spPr>
                          <a:xfrm>
                            <a:off x="1403622" y="540385"/>
                            <a:ext cx="4048565" cy="179705"/>
                          </a:xfrm>
                          <a:prstGeom prst="rect">
                            <a:avLst/>
                          </a:prstGeom>
                          <a:noFill/>
                          <a:ln w="6350">
                            <a:noFill/>
                          </a:ln>
                        </wps:spPr>
                        <wps:txbx>
                          <w:txbxContent>
                            <w:p w14:paraId="4771FB7A">
                              <w:pPr>
                                <w:snapToGrid w:val="0"/>
                              </w:pPr>
                              <w:r>
                                <w:rPr>
                                  <w:rFonts w:hint="eastAsia"/>
                                </w:rPr>
                                <w:t>监测设备名简称：由</w:t>
                              </w:r>
                              <w:r>
                                <w:t>2~5</w:t>
                              </w:r>
                              <w:r>
                                <w:rPr>
                                  <w:rFonts w:hint="eastAsia"/>
                                </w:rPr>
                                <w:t>位监测设备名称的汉语拼音大写字母组成。</w:t>
                              </w:r>
                            </w:p>
                          </w:txbxContent>
                        </wps:txbx>
                        <wps:bodyPr rot="0" spcFirstLastPara="0" vertOverflow="overflow" horzOverflow="overflow" vert="horz" wrap="none" lIns="36000" tIns="0" rIns="0" bIns="0" numCol="1" spcCol="0" rtlCol="0" fromWordArt="0" anchor="t" anchorCtr="0" forceAA="0" compatLnSpc="1">
                          <a:noAutofit/>
                        </wps:bodyPr>
                      </wps:wsp>
                      <wps:wsp>
                        <wps:cNvPr id="61" name="文本框 61"/>
                        <wps:cNvSpPr txBox="1"/>
                        <wps:spPr>
                          <a:xfrm>
                            <a:off x="1403938" y="360045"/>
                            <a:ext cx="3476430" cy="179705"/>
                          </a:xfrm>
                          <a:prstGeom prst="rect">
                            <a:avLst/>
                          </a:prstGeom>
                          <a:noFill/>
                          <a:ln w="6350">
                            <a:noFill/>
                          </a:ln>
                        </wps:spPr>
                        <wps:txbx>
                          <w:txbxContent>
                            <w:p w14:paraId="197D5516">
                              <w:pPr>
                                <w:snapToGrid w:val="0"/>
                              </w:pPr>
                              <w:r>
                                <w:rPr>
                                  <w:rFonts w:hint="eastAsia"/>
                                </w:rPr>
                                <w:t>测点编号：由</w:t>
                              </w:r>
                              <w:r>
                                <w:t>2位阿拉伯数字组成，不足两位，前序补0</w:t>
                              </w:r>
                              <w:r>
                                <w:rPr>
                                  <w:rFonts w:hint="eastAsia"/>
                                </w:rPr>
                                <w:t>。</w:t>
                              </w:r>
                            </w:p>
                          </w:txbxContent>
                        </wps:txbx>
                        <wps:bodyPr rot="0" spcFirstLastPara="0" vertOverflow="overflow" horzOverflow="overflow" vert="horz" wrap="none" lIns="36000" tIns="0" rIns="0" bIns="0" numCol="1" spcCol="0" rtlCol="0" fromWordArt="0" anchor="t" anchorCtr="0" forceAA="0" compatLnSpc="1">
                          <a:noAutofit/>
                        </wps:bodyPr>
                      </wps:wsp>
                      <wps:wsp>
                        <wps:cNvPr id="62" name="文本框 62"/>
                        <wps:cNvSpPr txBox="1"/>
                        <wps:spPr>
                          <a:xfrm>
                            <a:off x="1403878" y="900429"/>
                            <a:ext cx="2532185" cy="179705"/>
                          </a:xfrm>
                          <a:prstGeom prst="rect">
                            <a:avLst/>
                          </a:prstGeom>
                          <a:noFill/>
                          <a:ln w="6350">
                            <a:noFill/>
                          </a:ln>
                        </wps:spPr>
                        <wps:txbx>
                          <w:txbxContent>
                            <w:p w14:paraId="45B7AFDA">
                              <w:pPr>
                                <w:ind w:left="840" w:leftChars="400" w:firstLine="630" w:firstLineChars="300"/>
                              </w:pPr>
                              <w:r>
                                <w:rPr>
                                  <w:rFonts w:hint="eastAsia"/>
                                </w:rPr>
                                <w:t>各监测类别简称见表C</w:t>
                              </w:r>
                              <w:r>
                                <w:t>.2</w:t>
                              </w:r>
                              <w:r>
                                <w:rPr>
                                  <w:rFonts w:hint="eastAsia"/>
                                </w:rPr>
                                <w:t>。</w:t>
                              </w:r>
                            </w:p>
                          </w:txbxContent>
                        </wps:txbx>
                        <wps:bodyPr rot="0" spcFirstLastPara="0" vertOverflow="overflow" horzOverflow="overflow" vert="horz" wrap="none" lIns="36000" tIns="0" rIns="0" bIns="0" numCol="1" spcCol="0" rtlCol="0" fromWordArt="0" anchor="t" anchorCtr="0" forceAA="0" compatLnSpc="1">
                          <a:noAutofit/>
                        </wps:bodyPr>
                      </wps:wsp>
                      <wps:wsp>
                        <wps:cNvPr id="63" name="文本框 63"/>
                        <wps:cNvSpPr txBox="1"/>
                        <wps:spPr>
                          <a:xfrm>
                            <a:off x="1403878" y="1440180"/>
                            <a:ext cx="3598985" cy="179705"/>
                          </a:xfrm>
                          <a:prstGeom prst="rect">
                            <a:avLst/>
                          </a:prstGeom>
                          <a:noFill/>
                          <a:ln w="6350">
                            <a:noFill/>
                          </a:ln>
                        </wps:spPr>
                        <wps:txbx>
                          <w:txbxContent>
                            <w:p w14:paraId="278FD9A2">
                              <w:pPr>
                                <w:ind w:left="840" w:leftChars="400" w:firstLine="1470" w:firstLineChars="700"/>
                              </w:pPr>
                              <w:r>
                                <w:rPr>
                                  <w:rFonts w:hint="eastAsia"/>
                                </w:rPr>
                                <w:t>各水上构筑物类别识别码见表C</w:t>
                              </w:r>
                              <w:r>
                                <w:t>.1</w:t>
                              </w:r>
                              <w:r>
                                <w:rPr>
                                  <w:rFonts w:hint="eastAsia"/>
                                </w:rPr>
                                <w:t>。</w:t>
                              </w:r>
                            </w:p>
                          </w:txbxContent>
                        </wps:txbx>
                        <wps:bodyPr rot="0" spcFirstLastPara="0" vertOverflow="overflow" horzOverflow="overflow" vert="horz" wrap="none" lIns="36000" tIns="0" rIns="0" bIns="0" numCol="1" spcCol="0" rtlCol="0" fromWordArt="0" anchor="t" anchorCtr="0" forceAA="0" compatLnSpc="1">
                          <a:noAutofit/>
                        </wps:bodyPr>
                      </wps:wsp>
                      <wps:wsp>
                        <wps:cNvPr id="64" name="直接连接符 64"/>
                        <wps:cNvCnPr/>
                        <wps:spPr bwMode="auto">
                          <a:xfrm flipH="1" flipV="1">
                            <a:off x="1190824" y="447089"/>
                            <a:ext cx="213160" cy="2956"/>
                          </a:xfrm>
                          <a:prstGeom prst="line">
                            <a:avLst/>
                          </a:prstGeom>
                          <a:noFill/>
                          <a:ln w="9525">
                            <a:solidFill>
                              <a:srgbClr val="000000"/>
                            </a:solidFill>
                            <a:round/>
                          </a:ln>
                        </wps:spPr>
                        <wps:bodyPr/>
                      </wps:wsp>
                      <wps:wsp>
                        <wps:cNvPr id="65" name="直接连接符 65"/>
                        <wps:cNvCnPr/>
                        <wps:spPr bwMode="auto">
                          <a:xfrm flipH="1">
                            <a:off x="940999" y="630385"/>
                            <a:ext cx="462985" cy="4163"/>
                          </a:xfrm>
                          <a:prstGeom prst="line">
                            <a:avLst/>
                          </a:prstGeom>
                          <a:noFill/>
                          <a:ln w="9525">
                            <a:solidFill>
                              <a:srgbClr val="000000"/>
                            </a:solidFill>
                            <a:round/>
                          </a:ln>
                        </wps:spPr>
                        <wps:bodyPr/>
                      </wps:wsp>
                      <wps:wsp>
                        <wps:cNvPr id="66" name="直接连接符 66"/>
                        <wps:cNvCnPr/>
                        <wps:spPr bwMode="auto">
                          <a:xfrm flipH="1">
                            <a:off x="695902" y="810090"/>
                            <a:ext cx="708083" cy="6688"/>
                          </a:xfrm>
                          <a:prstGeom prst="line">
                            <a:avLst/>
                          </a:prstGeom>
                          <a:noFill/>
                          <a:ln w="9525">
                            <a:solidFill>
                              <a:srgbClr val="000000"/>
                            </a:solidFill>
                            <a:round/>
                          </a:ln>
                        </wps:spPr>
                        <wps:bodyPr/>
                      </wps:wsp>
                      <wps:wsp>
                        <wps:cNvPr id="67" name="直接连接符 67"/>
                        <wps:cNvCnPr/>
                        <wps:spPr bwMode="auto">
                          <a:xfrm flipH="1">
                            <a:off x="450805" y="1170134"/>
                            <a:ext cx="953179" cy="7848"/>
                          </a:xfrm>
                          <a:prstGeom prst="line">
                            <a:avLst/>
                          </a:prstGeom>
                          <a:noFill/>
                          <a:ln w="9525">
                            <a:solidFill>
                              <a:srgbClr val="000000"/>
                            </a:solidFill>
                            <a:round/>
                          </a:ln>
                        </wps:spPr>
                        <wps:bodyPr/>
                      </wps:wsp>
                      <wps:wsp>
                        <wps:cNvPr id="69" name="直接连接符 69"/>
                        <wps:cNvCnPr/>
                        <wps:spPr bwMode="auto">
                          <a:xfrm flipH="1">
                            <a:off x="202566" y="1350449"/>
                            <a:ext cx="1200303" cy="0"/>
                          </a:xfrm>
                          <a:prstGeom prst="line">
                            <a:avLst/>
                          </a:prstGeom>
                          <a:noFill/>
                          <a:ln w="9525">
                            <a:solidFill>
                              <a:srgbClr val="000000"/>
                            </a:solidFill>
                            <a:round/>
                          </a:ln>
                        </wps:spPr>
                        <wps:bodyPr/>
                      </wps:wsp>
                    </wpc:wpc>
                  </a:graphicData>
                </a:graphic>
              </wp:inline>
            </w:drawing>
          </mc:Choice>
          <mc:Fallback>
            <w:pict>
              <v:group id="_x0000_s1026" o:spid="_x0000_s1026" o:spt="203" style="height:133.65pt;width:474.35pt;" coordsize="6024345,1697355" editas="canvas" o:gfxdata="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">
                <o:lock v:ext="edit" aspectratio="f"/>
                <v:shape id="_x0000_s1026" o:spid="_x0000_s1026" style="position:absolute;left:0;top:0;height:1697355;width:6024345;" filled="f" stroked="f" coordsize="21600,21600" o:gfxdata="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">
                  <v:fill on="f" focussize="0,0"/>
                  <v:stroke on="f"/>
                  <v:imagedata o:title=""/>
                  <o:lock v:ext="edit" aspectratio="f"/>
                </v:shape>
                <v:rect id="_x0000_s1026" o:spid="_x0000_s1026" o:spt="1" style="position:absolute;left:149044;top:115368;height:108000;width:108000;v-text-anchor:middle;" filled="f" stroked="t" coordsize="21600,21600" o:gfxdata="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VHmnLX&#10;AAAABQEAAA8AAAAAAAAAAQAgAAAAIgAAAGRycy9kb3ducmV2LnhtbFBLAQIUABQAAAAIAIdO4kBX&#10;ITtskwIAACIFAAAOAAAAAAAAAAEAIAAAACYBAABkcnMvZTJvRG9jLnhtbFBLBQYAAAAABgAGAFkB&#10;AAArBgAAAAA=&#10;">
                  <v:fill on="f" focussize="0,0"/>
                  <v:stroke color="#042433 [3204]" miterlimit="8" joinstyle="miter"/>
                  <v:imagedata o:title=""/>
                  <o:lock v:ext="edit" aspectratio="t"/>
                </v:rect>
                <v:line id="_x0000_s1026" o:spid="_x0000_s1026" o:spt="20" style="position:absolute;left:202566;top:251933;height:1098516;width:0;" filled="f" stroked="t" coordsize="21600,21600" o:gfxdata="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XJhze1QAAAAUBAAAPAAAAAAAAAAEAIAAA&#10;ACIAAABkcnMvZG93bnJldi54bWxQSwECFAAUAAAACACHTuJALFhwndYBAACEAwAADgAAAAAAAAAB&#10;ACAAAAAkAQAAZHJzL2Uyb0RvYy54bWxQSwUGAAAAAAYABgBZAQAAbAUAAAAA&#10;">
                  <v:fill on="f" focussize="0,0"/>
                  <v:stroke color="#000000" joinstyle="round"/>
                  <v:imagedata o:title=""/>
                  <o:lock v:ext="edit" aspectratio="f"/>
                </v:line>
                <v:line id="_x0000_s1026" o:spid="_x0000_s1026" o:spt="20" style="position:absolute;left:145277;top:247017;height:0;width:115200;" filled="f" stroked="t" coordsize="21600,21600" o:gfxdata="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cmHN7VAAAABQEAAA8AAAAAAAAAAQAgAAAA&#10;IgAAAGRycy9kb3ducmV2LnhtbFBLAQIUABQAAAAIAIdO4kBcixBF1QEAAIMDAAAOAAAAAAAAAAEA&#10;IAAAACQBAABkcnMvZTJvRG9jLnhtbFBLBQYAAAAABgAGAFkBAABrBQAAAAA=&#10;">
                  <v:fill on="f" focussize="0,0"/>
                  <v:stroke color="#000000" joinstyle="round"/>
                  <v:imagedata o:title=""/>
                  <o:lock v:ext="edit" aspectratio="f"/>
                </v:line>
                <v:rect id="_x0000_s1026" o:spid="_x0000_s1026" o:spt="1" style="position:absolute;left:397283;top:115368;height:108000;width:108000;v-text-anchor:middle;" filled="f" stroked="t" coordsize="21600,21600" o:gfxdata="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lR5py&#10;1wAAAAUBAAAPAAAAAAAAAAEAIAAAACIAAABkcnMvZG93bnJldi54bWxQSwECFAAUAAAACACHTuJA&#10;Uqa4B5QCAAAiBQAADgAAAAAAAAABACAAAAAmAQAAZHJzL2Uyb0RvYy54bWxQSwUGAAAAAAYABgBZ&#10;AQAALAYAAAAA&#10;">
                  <v:fill on="f" focussize="0,0"/>
                  <v:stroke color="#042433 [3204]" miterlimit="8" joinstyle="miter"/>
                  <v:imagedata o:title=""/>
                  <o:lock v:ext="edit" aspectratio="t"/>
                </v:rect>
                <v:line id="_x0000_s1026" o:spid="_x0000_s1026" o:spt="20" style="position:absolute;left:450805;top:251933;height:926049;width:0;" filled="f" stroked="t" coordsize="21600,21600" o:gfxdata="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XJhze1QAAAAUBAAAPAAAAAAAAAAEAIAAA&#10;ACIAAABkcnMvZG93bnJldi54bWxQSwECFAAUAAAACACHTuJAahyCD9YBAACDAwAADgAAAAAAAAAB&#10;ACAAAAAkAQAAZHJzL2Uyb0RvYy54bWxQSwUGAAAAAAYABgBZAQAAbAUAAAAA&#10;">
                  <v:fill on="f" focussize="0,0"/>
                  <v:stroke color="#000000" joinstyle="round"/>
                  <v:imagedata o:title=""/>
                  <o:lock v:ext="edit" aspectratio="f"/>
                </v:line>
                <v:line id="_x0000_s1026" o:spid="_x0000_s1026" o:spt="20" style="position:absolute;left:393516;top:247017;height:0;width:115200;" filled="f" stroked="t" coordsize="21600,21600" o:gfxdata="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XJhze1QAAAAUBAAAPAAAAAAAAAAEA&#10;IAAAACIAAABkcnMvZG93bnJldi54bWxQSwECFAAUAAAACACHTuJAkSRUbdkBAACDAwAADgAAAAAA&#10;AAABACAAAAAkAQAAZHJzL2Uyb0RvYy54bWxQSwUGAAAAAAYABgBZAQAAbwUAAAAA&#10;">
                  <v:fill on="f" focussize="0,0"/>
                  <v:stroke color="#000000" joinstyle="round"/>
                  <v:imagedata o:title=""/>
                  <o:lock v:ext="edit" aspectratio="f"/>
                </v:line>
                <v:line id="_x0000_s1026" o:spid="_x0000_s1026" o:spt="20" style="position:absolute;left:540745;top:169728;height:0;width:54000;" filled="f" stroked="t" coordsize="21600,21600" o:gfxdata="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1yYc3tUAAAAFAQAADwAAAAAAAAABACAAAAAi&#10;AAAAZHJzL2Rvd25yZXYueG1sUEsBAhQAFAAAAAgAh07iQHR3zy7UAQAAggMAAA4AAAAAAAAAAQAg&#10;AAAAJAEAAGRycy9lMm9Eb2MueG1sUEsFBgAAAAAGAAYAWQEAAGoFAAAAAA==&#10;">
                  <v:fill on="f" focussize="0,0"/>
                  <v:stroke color="#000000" joinstyle="round"/>
                  <v:imagedata o:title=""/>
                  <o:lock v:ext="edit" aspectratio="f"/>
                </v:line>
                <v:rect id="_x0000_s1026" o:spid="_x0000_s1026" o:spt="1" style="position:absolute;left:642380;top:115368;height:108000;width:108000;v-text-anchor:middle;" filled="f" stroked="t" coordsize="21600,21600" o:gfxdata="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lR5py&#10;1wAAAAUBAAAPAAAAAAAAAAEAIAAAACIAAABkcnMvZG93bnJldi54bWxQSwECFAAUAAAACACHTuJA&#10;GUZftZQCAAAiBQAADgAAAAAAAAABACAAAAAmAQAAZHJzL2Uyb0RvYy54bWxQSwUGAAAAAAYABgBZ&#10;AQAALAYAAAAA&#10;">
                  <v:fill on="f" focussize="0,0"/>
                  <v:stroke color="#042433 [3204]" miterlimit="8" joinstyle="miter"/>
                  <v:imagedata o:title=""/>
                  <o:lock v:ext="edit" aspectratio="t"/>
                </v:rect>
                <v:line id="_x0000_s1026" o:spid="_x0000_s1026" o:spt="20" style="position:absolute;left:695902;top:251933;height:564845;width:0;" filled="f" stroked="t" coordsize="21600,21600" o:gfxdata="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1yYc3tUAAAAFAQAADwAAAAAAAAABACAA&#10;AAAiAAAAZHJzL2Rvd25yZXYueG1sUEsBAhQAFAAAAAgAh07iQHnD8sDXAQAAgwMAAA4AAAAAAAAA&#10;AQAgAAAAJAEAAGRycy9lMm9Eb2MueG1sUEsFBgAAAAAGAAYAWQEAAG0FAAAAAA==&#10;">
                  <v:fill on="f" focussize="0,0"/>
                  <v:stroke color="#000000" joinstyle="round"/>
                  <v:imagedata o:title=""/>
                  <o:lock v:ext="edit" aspectratio="f"/>
                </v:line>
                <v:line id="_x0000_s1026" o:spid="_x0000_s1026" o:spt="20" style="position:absolute;left:638613;top:247017;height:0;width:115200;" filled="f" stroked="t" coordsize="21600,21600" o:gfxdata="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cmHN7VAAAABQEAAA8AAAAAAAAAAQAg&#10;AAAAIgAAAGRycy9kb3ducmV2LnhtbFBLAQIUABQAAAAIAIdO4kAfw9kH2AEAAIMDAAAOAAAAAAAA&#10;AAEAIAAAACQBAABkcnMvZTJvRG9jLnhtbFBLBQYAAAAABgAGAFkBAABuBQAAAAA=&#10;">
                  <v:fill on="f" focussize="0,0"/>
                  <v:stroke color="#000000" joinstyle="round"/>
                  <v:imagedata o:title=""/>
                  <o:lock v:ext="edit" aspectratio="f"/>
                </v:line>
                <v:line id="_x0000_s1026" o:spid="_x0000_s1026" o:spt="20" style="position:absolute;left:785207;top:169728;height:0;width:54000;" filled="f" stroked="t" coordsize="21600,21600" o:gfxdata="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cmHN7VAAAABQEAAA8AAAAAAAAAAQAg&#10;AAAAIgAAAGRycy9kb3ducmV2LnhtbFBLAQIUABQAAAAIAIdO4kCbQxt52AEAAIIDAAAOAAAAAAAA&#10;AAEAIAAAACQBAABkcnMvZTJvRG9jLnhtbFBLBQYAAAAABgAGAFkBAABuBQAAAAA=&#10;">
                  <v:fill on="f" focussize="0,0"/>
                  <v:stroke color="#000000" joinstyle="round"/>
                  <v:imagedata o:title=""/>
                  <o:lock v:ext="edit" aspectratio="f"/>
                </v:line>
                <v:rect id="_x0000_s1026" o:spid="_x0000_s1026" o:spt="1" style="position:absolute;left:887477;top:115368;height:108000;width:108000;v-text-anchor:middle;" filled="f" stroked="t" coordsize="21600,21600" o:gfxdata="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VHmnLX&#10;AAAABQEAAA8AAAAAAAAAAQAgAAAAIgAAAGRycy9kb3ducmV2LnhtbFBLAQIUABQAAAAIAIdO4kCD&#10;tlHskwIAACIFAAAOAAAAAAAAAAEAIAAAACYBAABkcnMvZTJvRG9jLnhtbFBLBQYAAAAABgAGAFkB&#10;AAArBgAAAAA=&#10;">
                  <v:fill on="f" focussize="0,0"/>
                  <v:stroke color="#042433 [3204]" miterlimit="8" joinstyle="miter"/>
                  <v:imagedata o:title=""/>
                  <o:lock v:ext="edit" aspectratio="t"/>
                </v:rect>
                <v:line id="_x0000_s1026" o:spid="_x0000_s1026" o:spt="20" style="position:absolute;left:940999;top:251933;height:382615;width:0;" filled="f" stroked="t" coordsize="21600,21600" o:gfxdata="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1yYc3tUAAAAFAQAADwAAAAAAAAABACAA&#10;AAAiAAAAZHJzL2Rvd25yZXYueG1sUEsBAhQAFAAAAAgAh07iQFASLFzXAQAAgwMAAA4AAAAAAAAA&#10;AQAgAAAAJAEAAGRycy9lMm9Eb2MueG1sUEsFBgAAAAAGAAYAWQEAAG0FAAAAAA==&#10;">
                  <v:fill on="f" focussize="0,0"/>
                  <v:stroke color="#000000" joinstyle="round"/>
                  <v:imagedata o:title=""/>
                  <o:lock v:ext="edit" aspectratio="f"/>
                </v:line>
                <v:line id="_x0000_s1026" o:spid="_x0000_s1026" o:spt="20" style="position:absolute;left:883710;top:247017;height:0;width:115200;" filled="f" stroked="t" coordsize="21600,21600" o:gfxdata="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cmHN7VAAAABQEAAA8AAAAAAAAAAQAg&#10;AAAAIgAAAGRycy9kb3ducmV2LnhtbFBLAQIUABQAAAAIAIdO4kDLGDHj2AEAAIMDAAAOAAAAAAAA&#10;AAEAIAAAACQBAABkcnMvZTJvRG9jLnhtbFBLBQYAAAAABgAGAFkBAABuBQAAAAA=&#10;">
                  <v:fill on="f" focussize="0,0"/>
                  <v:stroke color="#000000" joinstyle="round"/>
                  <v:imagedata o:title=""/>
                  <o:lock v:ext="edit" aspectratio="f"/>
                </v:line>
                <v:line id="_x0000_s1026" o:spid="_x0000_s1026" o:spt="20" style="position:absolute;left:1029669;top:169728;height:0;width:54000;" filled="f" stroked="t" coordsize="21600,21600" o:gfxdata="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1yYc3tUAAAAFAQAADwAAAAAAAAABACAA&#10;AAAiAAAAZHJzL2Rvd25yZXYueG1sUEsBAhQAFAAAAAgAh07iQGfDeY7XAQAAgwMAAA4AAAAAAAAA&#10;AQAgAAAAJAEAAGRycy9lMm9Eb2MueG1sUEsFBgAAAAAGAAYAWQEAAG0FAAAAAA==&#10;">
                  <v:fill on="f" focussize="0,0"/>
                  <v:stroke color="#000000" joinstyle="round"/>
                  <v:imagedata o:title=""/>
                  <o:lock v:ext="edit" aspectratio="f"/>
                </v:line>
                <v:rect id="_x0000_s1026" o:spid="_x0000_s1026" o:spt="1" style="position:absolute;left:1135217;top:115368;height:108000;width:108000;v-text-anchor:middle;" filled="f" stroked="t" coordsize="21600,21600" o:gfxdata="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JUeactcA&#10;AAAFAQAADwAAAAAAAAABACAAAAAiAAAAZHJzL2Rvd25yZXYueG1sUEsBAhQAFAAAAAgAh07iQCiB&#10;thiSAgAAIwUAAA4AAAAAAAAAAQAgAAAAJgEAAGRycy9lMm9Eb2MueG1sUEsFBgAAAAAGAAYAWQEA&#10;ACoGAAAAAA==&#10;">
                  <v:fill on="f" focussize="0,0"/>
                  <v:stroke color="#042433 [3204]" miterlimit="8" joinstyle="miter"/>
                  <v:imagedata o:title=""/>
                  <o:lock v:ext="edit" aspectratio="t"/>
                </v:rect>
                <v:line id="_x0000_s1026" o:spid="_x0000_s1026" o:spt="20" style="position:absolute;left:1188739;top:251933;height:198112;width:0;" filled="f" stroked="t" coordsize="21600,21600" o:gfxdata="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cmHN7VAAAABQEAAA8AAAAAAAAAAQAg&#10;AAAAIgAAAGRycy9kb3ducmV2LnhtbFBLAQIUABQAAAAIAIdO4kDwGQ0J2AEAAIQDAAAOAAAAAAAA&#10;AAEAIAAAACQBAABkcnMvZTJvRG9jLnhtbFBLBQYAAAAABgAGAFkBAABuBQAAAAA=&#10;">
                  <v:fill on="f" focussize="0,0"/>
                  <v:stroke color="#000000" joinstyle="round"/>
                  <v:imagedata o:title=""/>
                  <o:lock v:ext="edit" aspectratio="f"/>
                </v:line>
                <v:line id="_x0000_s1026" o:spid="_x0000_s1026" o:spt="20" style="position:absolute;left:1131450;top:247017;height:0;width:115200;" filled="f" stroked="t" coordsize="21600,21600" o:gfxdata="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XJhze1QAAAAUBAAAPAAAAAAAAAAEAIAAA&#10;ACIAAABkcnMvZG93bnJldi54bWxQSwECFAAUAAAACACHTuJAYy+dcNYBAACEAwAADgAAAAAAAAAB&#10;ACAAAAAkAQAAZHJzL2Uyb0RvYy54bWxQSwUGAAAAAAYABgBZAQAAbAUAAAAA&#10;">
                  <v:fill on="f" focussize="0,0"/>
                  <v:stroke color="#000000" joinstyle="round"/>
                  <v:imagedata o:title=""/>
                  <o:lock v:ext="edit" aspectratio="f"/>
                </v:line>
                <v:shape id="_x0000_s1026" o:spid="_x0000_s1026" o:spt="202" type="#_x0000_t202" style="position:absolute;left:1402846;top:1260475;height:179705;width:2843335;mso-wrap-style:none;" filled="f" stroked="f" coordsize="21600,21600" o:gfxdata="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XfWJNcAAAAFAQAADwAAAAAAAAABACAAAAAiAAAA&#10;ZHJzL2Rvd25yZXYueG1sUEsBAhQAFAAAAAgAh07iQCD2QyRBAgAAZgQAAA4AAAAAAAAAAQAgAAAA&#10;JgEAAGRycy9lMm9Eb2MueG1sUEsFBgAAAAAGAAYAWQEAANkFAAAAAA==&#10;">
                  <v:fill on="f" focussize="0,0"/>
                  <v:stroke on="f" weight="0.5pt"/>
                  <v:imagedata o:title=""/>
                  <o:lock v:ext="edit" aspectratio="f"/>
                  <v:textbox inset="1mm,0mm,0mm,0mm">
                    <w:txbxContent>
                      <w:p w14:paraId="6963CBC4">
                        <w:r>
                          <w:rPr>
                            <w:rFonts w:hint="eastAsia"/>
                          </w:rPr>
                          <w:t>水上构筑物类别标识码：由</w:t>
                        </w:r>
                        <w:r>
                          <w:t>2</w:t>
                        </w:r>
                        <w:r>
                          <w:rPr>
                            <w:rFonts w:hint="eastAsia"/>
                          </w:rPr>
                          <w:t>位大写字母组成，</w:t>
                        </w:r>
                      </w:p>
                    </w:txbxContent>
                  </v:textbox>
                </v:shape>
                <v:shape id="_x0000_s1026" o:spid="_x0000_s1026" o:spt="202" type="#_x0000_t202" style="position:absolute;left:1403961;top:1080134;height:179705;width:3781865;mso-wrap-style:none;" filled="f" stroked="f" coordsize="21600,21600" o:gfxdata="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XfWJNcAAAAFAQAADwAAAAAAAAABACAAAAAiAAAA&#10;ZHJzL2Rvd25yZXYueG1sUEsBAhQAFAAAAAgAh07iQJUyURRBAgAAZgQAAA4AAAAAAAAAAQAgAAAA&#10;JgEAAGRycy9lMm9Eb2MueG1sUEsFBgAAAAAGAAYAWQEAANkFAAAAAA==&#10;">
                  <v:fill on="f" focussize="0,0"/>
                  <v:stroke on="f" weight="0.5pt"/>
                  <v:imagedata o:title=""/>
                  <o:lock v:ext="edit" aspectratio="f"/>
                  <v:textbox inset="1mm,0mm,0mm,0mm">
                    <w:txbxContent>
                      <w:p w14:paraId="2455D325">
                        <w:r>
                          <w:rPr>
                            <w:rFonts w:hint="eastAsia"/>
                          </w:rPr>
                          <w:t>构筑物名简称：由</w:t>
                        </w:r>
                        <w:r>
                          <w:t>2~5</w:t>
                        </w:r>
                        <w:r>
                          <w:rPr>
                            <w:rFonts w:hint="eastAsia"/>
                          </w:rPr>
                          <w:t>位构筑物名称的汉语拼音大写字母组成。</w:t>
                        </w:r>
                      </w:p>
                    </w:txbxContent>
                  </v:textbox>
                </v:shape>
                <v:shape id="_x0000_s1026" o:spid="_x0000_s1026" o:spt="202" type="#_x0000_t202" style="position:absolute;left:1403854;top:720090;height:179705;width:3910135;mso-wrap-style:none;" filled="f" stroked="f" coordsize="21600,21600" o:gfxdata="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XfWJNcAAAAFAQAADwAAAAAAAAABACAAAAAiAAAA&#10;ZHJzL2Rvd25yZXYueG1sUEsBAhQAFAAAAAgAh07iQI8IQO1BAgAAZQQAAA4AAAAAAAAAAQAgAAAA&#10;JgEAAGRycy9lMm9Eb2MueG1sUEsFBgAAAAAGAAYAWQEAANkFAAAAAA==&#10;">
                  <v:fill on="f" focussize="0,0"/>
                  <v:stroke on="f" weight="0.5pt"/>
                  <v:imagedata o:title=""/>
                  <o:lock v:ext="edit" aspectratio="f"/>
                  <v:textbox inset="1mm,0mm,0mm,0mm">
                    <w:txbxContent>
                      <w:p w14:paraId="7B4A4AB5">
                        <w:r>
                          <w:rPr>
                            <w:rFonts w:hint="eastAsia"/>
                          </w:rPr>
                          <w:t>监测类别简称：不同监测内容的英文简称，由</w:t>
                        </w:r>
                        <w:r>
                          <w:t>3</w:t>
                        </w:r>
                        <w:r>
                          <w:rPr>
                            <w:rFonts w:hint="eastAsia"/>
                          </w:rPr>
                          <w:t>位大写字母组成，</w:t>
                        </w:r>
                      </w:p>
                    </w:txbxContent>
                  </v:textbox>
                </v:shape>
                <v:shape id="_x0000_s1026" o:spid="_x0000_s1026" o:spt="202" type="#_x0000_t202" style="position:absolute;left:1403622;top:540385;height:179705;width:4048565;mso-wrap-style:none;" filled="f" stroked="f" coordsize="21600,21600" o:gfxdata="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XfWJNcAAAAFAQAADwAAAAAAAAABACAAAAAiAAAA&#10;ZHJzL2Rvd25yZXYueG1sUEsBAhQAFAAAAAgAh07iQJxmn21BAgAAZQQAAA4AAAAAAAAAAQAgAAAA&#10;JgEAAGRycy9lMm9Eb2MueG1sUEsFBgAAAAAGAAYAWQEAANkFAAAAAA==&#10;">
                  <v:fill on="f" focussize="0,0"/>
                  <v:stroke on="f" weight="0.5pt"/>
                  <v:imagedata o:title=""/>
                  <o:lock v:ext="edit" aspectratio="f"/>
                  <v:textbox inset="1mm,0mm,0mm,0mm">
                    <w:txbxContent>
                      <w:p w14:paraId="4771FB7A">
                        <w:pPr>
                          <w:snapToGrid w:val="0"/>
                        </w:pPr>
                        <w:r>
                          <w:rPr>
                            <w:rFonts w:hint="eastAsia"/>
                          </w:rPr>
                          <w:t>监测设备名简称：由</w:t>
                        </w:r>
                        <w:r>
                          <w:t>2~5</w:t>
                        </w:r>
                        <w:r>
                          <w:rPr>
                            <w:rFonts w:hint="eastAsia"/>
                          </w:rPr>
                          <w:t>位监测设备名称的汉语拼音大写字母组成。</w:t>
                        </w:r>
                      </w:p>
                    </w:txbxContent>
                  </v:textbox>
                </v:shape>
                <v:shape id="_x0000_s1026" o:spid="_x0000_s1026" o:spt="202" type="#_x0000_t202" style="position:absolute;left:1403938;top:360045;height:179705;width:3476430;mso-wrap-style:none;" filled="f" stroked="f" coordsize="21600,21600" o:gfxdata="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Fd9Yk1wAAAAUBAAAPAAAAAAAAAAEAIAAAACIAAABk&#10;cnMvZG93bnJldi54bWxQSwECFAAUAAAACACHTuJAbpRDCUACAABlBAAADgAAAAAAAAABACAAAAAm&#10;AQAAZHJzL2Uyb0RvYy54bWxQSwUGAAAAAAYABgBZAQAA2AUAAAAA&#10;">
                  <v:fill on="f" focussize="0,0"/>
                  <v:stroke on="f" weight="0.5pt"/>
                  <v:imagedata o:title=""/>
                  <o:lock v:ext="edit" aspectratio="f"/>
                  <v:textbox inset="1mm,0mm,0mm,0mm">
                    <w:txbxContent>
                      <w:p w14:paraId="197D5516">
                        <w:pPr>
                          <w:snapToGrid w:val="0"/>
                        </w:pPr>
                        <w:r>
                          <w:rPr>
                            <w:rFonts w:hint="eastAsia"/>
                          </w:rPr>
                          <w:t>测点编号：由</w:t>
                        </w:r>
                        <w:r>
                          <w:t>2位阿拉伯数字组成，不足两位，前序补0</w:t>
                        </w:r>
                        <w:r>
                          <w:rPr>
                            <w:rFonts w:hint="eastAsia"/>
                          </w:rPr>
                          <w:t>。</w:t>
                        </w:r>
                      </w:p>
                    </w:txbxContent>
                  </v:textbox>
                </v:shape>
                <v:shape id="_x0000_s1026" o:spid="_x0000_s1026" o:spt="202" type="#_x0000_t202" style="position:absolute;left:1403878;top:900429;height:179705;width:2532185;mso-wrap-style:none;" filled="f" stroked="f" coordsize="21600,21600" o:gfxdata="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XfWJNcAAAAFAQAADwAAAAAAAAABACAAAAAiAAAA&#10;ZHJzL2Rvd25yZXYueG1sUEsBAhQAFAAAAAgAh07iQBQGlkBBAgAAZQQAAA4AAAAAAAAAAQAgAAAA&#10;JgEAAGRycy9lMm9Eb2MueG1sUEsFBgAAAAAGAAYAWQEAANkFAAAAAA==&#10;">
                  <v:fill on="f" focussize="0,0"/>
                  <v:stroke on="f" weight="0.5pt"/>
                  <v:imagedata o:title=""/>
                  <o:lock v:ext="edit" aspectratio="f"/>
                  <v:textbox inset="1mm,0mm,0mm,0mm">
                    <w:txbxContent>
                      <w:p w14:paraId="45B7AFDA">
                        <w:pPr>
                          <w:ind w:left="840" w:leftChars="400" w:firstLine="630" w:firstLineChars="300"/>
                        </w:pPr>
                        <w:r>
                          <w:rPr>
                            <w:rFonts w:hint="eastAsia"/>
                          </w:rPr>
                          <w:t>各监测类别简称见表C</w:t>
                        </w:r>
                        <w:r>
                          <w:t>.2</w:t>
                        </w:r>
                        <w:r>
                          <w:rPr>
                            <w:rFonts w:hint="eastAsia"/>
                          </w:rPr>
                          <w:t>。</w:t>
                        </w:r>
                      </w:p>
                    </w:txbxContent>
                  </v:textbox>
                </v:shape>
                <v:shape id="_x0000_s1026" o:spid="_x0000_s1026" o:spt="202" type="#_x0000_t202" style="position:absolute;left:1403878;top:1440180;height:179705;width:3598985;mso-wrap-style:none;" filled="f" stroked="f" coordsize="21600,21600" o:gfxdata="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xXfWJNcAAAAFAQAADwAAAAAAAAABACAAAAAiAAAAZHJz&#10;L2Rvd25yZXYueG1sUEsBAhQAFAAAAAgAh07iQHuBTZ8+AgAAZgQAAA4AAAAAAAAAAQAgAAAAJgEA&#10;AGRycy9lMm9Eb2MueG1sUEsFBgAAAAAGAAYAWQEAANYFAAAAAA==&#10;">
                  <v:fill on="f" focussize="0,0"/>
                  <v:stroke on="f" weight="0.5pt"/>
                  <v:imagedata o:title=""/>
                  <o:lock v:ext="edit" aspectratio="f"/>
                  <v:textbox inset="1mm,0mm,0mm,0mm">
                    <w:txbxContent>
                      <w:p w14:paraId="278FD9A2">
                        <w:pPr>
                          <w:ind w:left="840" w:leftChars="400" w:firstLine="1470" w:firstLineChars="700"/>
                        </w:pPr>
                        <w:r>
                          <w:rPr>
                            <w:rFonts w:hint="eastAsia"/>
                          </w:rPr>
                          <w:t>各水上构筑物类别识别码见表C</w:t>
                        </w:r>
                        <w:r>
                          <w:t>.1</w:t>
                        </w:r>
                        <w:r>
                          <w:rPr>
                            <w:rFonts w:hint="eastAsia"/>
                          </w:rPr>
                          <w:t>。</w:t>
                        </w:r>
                      </w:p>
                    </w:txbxContent>
                  </v:textbox>
                </v:shape>
                <v:line id="_x0000_s1026" o:spid="_x0000_s1026" o:spt="20" style="position:absolute;left:1190824;top:447089;flip:x y;height:2956;width:213160;" filled="f" stroked="t" coordsize="21600,21600" o:gfxdata="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Av4Cv0gAAAAUBAAAP&#10;AAAAAAAAAAEAIAAAACIAAABkcnMvZG93bnJldi54bWxQSwECFAAUAAAACACHTuJA3ZJAX+UBAACb&#10;AwAADgAAAAAAAAABACAAAAAhAQAAZHJzL2Uyb0RvYy54bWxQSwUGAAAAAAYABgBZAQAAeAUAAAAA&#10;">
                  <v:fill on="f" focussize="0,0"/>
                  <v:stroke color="#000000" joinstyle="round"/>
                  <v:imagedata o:title=""/>
                  <o:lock v:ext="edit" aspectratio="f"/>
                </v:line>
                <v:line id="_x0000_s1026" o:spid="_x0000_s1026" o:spt="20" style="position:absolute;left:940999;top:630385;flip:x;height:4163;width:462985;" filled="f" stroked="t" coordsize="21600,21600" o:gfxdata="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bEBNw1QAAAAUBAAAPAAAA&#10;AAAAAAEAIAAAACIAAABkcnMvZG93bnJldi54bWxQSwECFAAUAAAACACHTuJArmYa798BAACQAwAA&#10;DgAAAAAAAAABACAAAAAkAQAAZHJzL2Uyb0RvYy54bWxQSwUGAAAAAAYABgBZAQAAdQUAAAAA&#10;">
                  <v:fill on="f" focussize="0,0"/>
                  <v:stroke color="#000000" joinstyle="round"/>
                  <v:imagedata o:title=""/>
                  <o:lock v:ext="edit" aspectratio="f"/>
                </v:line>
                <v:line id="_x0000_s1026" o:spid="_x0000_s1026" o:spt="20" style="position:absolute;left:695902;top:810090;flip:x;height:6688;width:708083;" filled="f" stroked="t" coordsize="21600,21600" o:gfxdata="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bEBNw1QAAAAUBAAAPAAAA&#10;AAAAAAEAIAAAACIAAABkcnMvZG93bnJldi54bWxQSwECFAAUAAAACACHTuJA/0QV9t8BAACQAwAA&#10;DgAAAAAAAAABACAAAAAkAQAAZHJzL2Uyb0RvYy54bWxQSwUGAAAAAAYABgBZAQAAdQUAAAAA&#10;">
                  <v:fill on="f" focussize="0,0"/>
                  <v:stroke color="#000000" joinstyle="round"/>
                  <v:imagedata o:title=""/>
                  <o:lock v:ext="edit" aspectratio="f"/>
                </v:line>
                <v:line id="_x0000_s1026" o:spid="_x0000_s1026" o:spt="20" style="position:absolute;left:450805;top:1170134;flip:x;height:7848;width:953179;" filled="f" stroked="t" coordsize="21600,21600" o:gfxdata="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sQE3DVAAAABQEAAA8A&#10;AAAAAAAAAQAgAAAAIgAAAGRycy9kb3ducmV2LnhtbFBLAQIUABQAAAAIAIdO4kCrpAHP4QEAAJED&#10;AAAOAAAAAAAAAAEAIAAAACQBAABkcnMvZTJvRG9jLnhtbFBLBQYAAAAABgAGAFkBAAB3BQAAAAA=&#10;">
                  <v:fill on="f" focussize="0,0"/>
                  <v:stroke color="#000000" joinstyle="round"/>
                  <v:imagedata o:title=""/>
                  <o:lock v:ext="edit" aspectratio="f"/>
                </v:line>
                <v:line id="_x0000_s1026" o:spid="_x0000_s1026" o:spt="20" style="position:absolute;left:202566;top:1350449;flip:x;height:0;width:1200303;" filled="f" stroked="t" coordsize="21600,21600" o:gfxdata="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2xATcNUAAAAFAQAADwAA&#10;AAAAAAABACAAAAAiAAAAZHJzL2Rvd25yZXYueG1sUEsBAhQAFAAAAAgAh07iQCHxdTzgAQAAjwMA&#10;AA4AAAAAAAAAAQAgAAAAJAEAAGRycy9lMm9Eb2MueG1sUEsFBgAAAAAGAAYAWQEAAHYFAAAAAA==&#10;">
                  <v:fill on="f" focussize="0,0"/>
                  <v:stroke color="#000000" joinstyle="round"/>
                  <v:imagedata o:title=""/>
                  <o:lock v:ext="edit" aspectratio="f"/>
                </v:line>
                <w10:wrap type="none"/>
                <w10:anchorlock/>
              </v:group>
            </w:pict>
          </mc:Fallback>
        </mc:AlternateContent>
      </w:r>
    </w:p>
    <w:p w14:paraId="532C41B6">
      <w:pPr>
        <w:pStyle w:val="166"/>
        <w:rPr>
          <w:b/>
          <w:bCs/>
        </w:rPr>
      </w:pPr>
      <w:r>
        <w:rPr>
          <w:rFonts w:hint="eastAsia"/>
          <w:b/>
          <w:bCs/>
        </w:rPr>
        <w:t>图2　水上构筑物监测测点编号命名规则</w:t>
      </w:r>
    </w:p>
    <w:p w14:paraId="63E1C678">
      <w:pPr>
        <w:pStyle w:val="161"/>
      </w:pPr>
      <w:r>
        <w:rPr>
          <w:rFonts w:hint="eastAsia"/>
        </w:rPr>
        <w:t>示例：</w:t>
      </w:r>
    </w:p>
    <w:p w14:paraId="6787E440">
      <w:pPr>
        <w:pStyle w:val="161"/>
      </w:pPr>
      <w:r>
        <w:rPr>
          <w:rFonts w:hint="eastAsia"/>
        </w:rPr>
        <w:t>解放桥 船舶超高监测 激光测高仪 安装在3号测点，应编码为：QL JF-VOH-JGCGY-03</w:t>
      </w:r>
    </w:p>
    <w:p w14:paraId="634C5259">
      <w:pPr>
        <w:pStyle w:val="159"/>
      </w:pPr>
      <w:bookmarkStart w:id="32" w:name="_Toc221528758"/>
      <w:bookmarkStart w:id="33" w:name="_Toc221528687"/>
      <w:r>
        <w:rPr>
          <w:rFonts w:hint="eastAsia"/>
        </w:rPr>
        <w:t>5.4  数据传输</w:t>
      </w:r>
      <w:bookmarkEnd w:id="32"/>
      <w:bookmarkEnd w:id="33"/>
    </w:p>
    <w:p w14:paraId="02001E24">
      <w:pPr>
        <w:pStyle w:val="161"/>
      </w:pPr>
      <w:r>
        <w:rPr>
          <w:rFonts w:hint="eastAsia"/>
          <w:b/>
        </w:rPr>
        <w:t>5.4.1　</w:t>
      </w:r>
      <w:r>
        <w:rPr>
          <w:rFonts w:hint="eastAsia"/>
        </w:rPr>
        <w:t>数据传输方式应符合现行国家标准GB 50348的相关规定。</w:t>
      </w:r>
    </w:p>
    <w:p w14:paraId="5990FD94">
      <w:pPr>
        <w:pStyle w:val="161"/>
      </w:pPr>
      <w:r>
        <w:rPr>
          <w:rFonts w:hint="eastAsia"/>
          <w:b/>
        </w:rPr>
        <w:t>5.4.2　</w:t>
      </w:r>
      <w:r>
        <w:rPr>
          <w:rFonts w:hint="eastAsia"/>
        </w:rPr>
        <w:t>数据传输系统应具备对数据采集系统各类数据的接收、处理、交换与传输的能力。</w:t>
      </w:r>
    </w:p>
    <w:p w14:paraId="2A5D00F1">
      <w:pPr>
        <w:pStyle w:val="161"/>
      </w:pPr>
      <w:r>
        <w:rPr>
          <w:rFonts w:hint="eastAsia"/>
          <w:b/>
        </w:rPr>
        <w:t>5.4.3　</w:t>
      </w:r>
      <w:r>
        <w:rPr>
          <w:rFonts w:hint="eastAsia"/>
        </w:rPr>
        <w:t>数据传输系统的设计应采用因地制宜的原则，并综合考虑数据传输距离、工程各阶段特征和工程现场地形条件、网络覆盖状况、已有的通信设施等因素，灵活选取合适的数据传输方式。</w:t>
      </w:r>
    </w:p>
    <w:p w14:paraId="4CF9F6CA">
      <w:pPr>
        <w:pStyle w:val="167"/>
      </w:pPr>
      <w:r>
        <w:rPr>
          <w:rFonts w:hint="eastAsia"/>
        </w:rPr>
        <w:t>a)</w:t>
      </w:r>
      <w:r>
        <w:rPr>
          <w:rFonts w:hint="eastAsia"/>
        </w:rPr>
        <w:tab/>
      </w:r>
      <w:r>
        <w:rPr>
          <w:rFonts w:hint="eastAsia"/>
        </w:rPr>
        <w:t>工程现场存在无线发射设备或在有强电磁场的环境下，应采取有效的电磁屏蔽措施；若无法实施电磁屏蔽，则应采用有线传输方式；</w:t>
      </w:r>
    </w:p>
    <w:p w14:paraId="2C7D8A09">
      <w:pPr>
        <w:pStyle w:val="167"/>
      </w:pPr>
      <w:r>
        <w:rPr>
          <w:rFonts w:hint="eastAsia"/>
        </w:rPr>
        <w:t>b)</w:t>
      </w:r>
      <w:r>
        <w:rPr>
          <w:rFonts w:hint="eastAsia"/>
        </w:rPr>
        <w:tab/>
      </w:r>
      <w:r>
        <w:rPr>
          <w:rFonts w:hint="eastAsia"/>
        </w:rPr>
        <w:t>对于交通不便区域、复杂地形、物理线路布设和维护困难的环境下，宜采用无线传输方式；</w:t>
      </w:r>
    </w:p>
    <w:p w14:paraId="67254F43">
      <w:pPr>
        <w:pStyle w:val="167"/>
      </w:pPr>
      <w:r>
        <w:rPr>
          <w:rFonts w:hint="eastAsia"/>
        </w:rPr>
        <w:t>c)</w:t>
      </w:r>
      <w:r>
        <w:rPr>
          <w:rFonts w:hint="eastAsia"/>
        </w:rPr>
        <w:tab/>
      </w:r>
      <w:r>
        <w:rPr>
          <w:rFonts w:hint="eastAsia"/>
        </w:rPr>
        <w:t>需要构建临时传输网络的工程现场，宜采用无线传输方式；</w:t>
      </w:r>
    </w:p>
    <w:p w14:paraId="1D5EAEEF">
      <w:pPr>
        <w:pStyle w:val="167"/>
      </w:pPr>
      <w:r>
        <w:rPr>
          <w:rFonts w:hint="eastAsia"/>
        </w:rPr>
        <w:t>d)</w:t>
      </w:r>
      <w:r>
        <w:rPr>
          <w:rFonts w:hint="eastAsia"/>
        </w:rPr>
        <w:tab/>
      </w:r>
      <w:r>
        <w:rPr>
          <w:rFonts w:hint="eastAsia"/>
        </w:rPr>
        <w:t>根据工程实际需要，可选择一种或多种传输方式进行组合使用。</w:t>
      </w:r>
    </w:p>
    <w:p w14:paraId="5469C863">
      <w:pPr>
        <w:pStyle w:val="161"/>
      </w:pPr>
      <w:r>
        <w:rPr>
          <w:rFonts w:hint="eastAsia"/>
          <w:b/>
        </w:rPr>
        <w:t>5.4.4　</w:t>
      </w:r>
      <w:r>
        <w:rPr>
          <w:rFonts w:hint="eastAsia"/>
        </w:rPr>
        <w:t>对于船舶轨迹、视频流等连续数据，应采用同步传输方式。</w:t>
      </w:r>
    </w:p>
    <w:p w14:paraId="79395554">
      <w:pPr>
        <w:pStyle w:val="161"/>
      </w:pPr>
      <w:r>
        <w:rPr>
          <w:rFonts w:hint="eastAsia"/>
          <w:b/>
        </w:rPr>
        <w:t>5.4.5　</w:t>
      </w:r>
      <w:r>
        <w:rPr>
          <w:rFonts w:hint="eastAsia"/>
        </w:rPr>
        <w:t>数据传输系统中应设计数据备份机制。</w:t>
      </w:r>
    </w:p>
    <w:p w14:paraId="278B6FC7">
      <w:pPr>
        <w:pStyle w:val="161"/>
      </w:pPr>
      <w:r>
        <w:rPr>
          <w:rFonts w:hint="eastAsia"/>
          <w:b/>
        </w:rPr>
        <w:t>5.4.6　</w:t>
      </w:r>
      <w:r>
        <w:rPr>
          <w:rFonts w:hint="eastAsia"/>
        </w:rPr>
        <w:t>数据传输系统中应设计校验机制，在传送和接收两方对数据进行确认。</w:t>
      </w:r>
    </w:p>
    <w:p w14:paraId="2B4BED4D">
      <w:pPr>
        <w:pStyle w:val="161"/>
      </w:pPr>
      <w:r>
        <w:rPr>
          <w:rFonts w:hint="eastAsia"/>
          <w:b/>
        </w:rPr>
        <w:t>5.4.7　</w:t>
      </w:r>
      <w:r>
        <w:rPr>
          <w:rFonts w:hint="eastAsia"/>
        </w:rPr>
        <w:t>当数据通道发生故障而中断，数据传输系统应具有补发功能，将中断时间段内所有数据发送到接收端。</w:t>
      </w:r>
    </w:p>
    <w:p w14:paraId="1ADB6BCE">
      <w:pPr>
        <w:pStyle w:val="161"/>
      </w:pPr>
      <w:r>
        <w:rPr>
          <w:rFonts w:hint="eastAsia"/>
          <w:b/>
        </w:rPr>
        <w:t>5.4.8　</w:t>
      </w:r>
      <w:r>
        <w:rPr>
          <w:rFonts w:hint="eastAsia"/>
        </w:rPr>
        <w:t>数据传输应制定应对特殊突发情况的应急预案。</w:t>
      </w:r>
    </w:p>
    <w:p w14:paraId="6EC38697">
      <w:pPr>
        <w:pStyle w:val="159"/>
      </w:pPr>
      <w:bookmarkStart w:id="34" w:name="_Toc221528759"/>
      <w:bookmarkStart w:id="35" w:name="_Toc221528688"/>
      <w:r>
        <w:rPr>
          <w:rFonts w:hint="eastAsia"/>
        </w:rPr>
        <w:t>5.5  数据处理与分析</w:t>
      </w:r>
      <w:bookmarkEnd w:id="34"/>
      <w:bookmarkEnd w:id="35"/>
    </w:p>
    <w:p w14:paraId="5E0F3701">
      <w:pPr>
        <w:pStyle w:val="161"/>
      </w:pPr>
      <w:r>
        <w:rPr>
          <w:rFonts w:hint="eastAsia"/>
          <w:b/>
        </w:rPr>
        <w:t>5.5.1　</w:t>
      </w:r>
      <w:r>
        <w:rPr>
          <w:rFonts w:hint="eastAsia"/>
        </w:rPr>
        <w:t>数据处理应满足以下规定：</w:t>
      </w:r>
    </w:p>
    <w:p w14:paraId="08BE0DCA">
      <w:pPr>
        <w:pStyle w:val="167"/>
      </w:pPr>
      <w:r>
        <w:rPr>
          <w:rFonts w:hint="eastAsia"/>
        </w:rPr>
        <w:t>a)</w:t>
      </w:r>
      <w:r>
        <w:rPr>
          <w:rFonts w:hint="eastAsia"/>
        </w:rPr>
        <w:tab/>
      </w:r>
      <w:r>
        <w:rPr>
          <w:rFonts w:hint="eastAsia"/>
        </w:rPr>
        <w:t>对含噪信号进行降噪处理，提高信号的信噪比；</w:t>
      </w:r>
    </w:p>
    <w:p w14:paraId="7E23AB7C">
      <w:pPr>
        <w:pStyle w:val="167"/>
      </w:pPr>
      <w:r>
        <w:rPr>
          <w:rFonts w:hint="eastAsia"/>
        </w:rPr>
        <w:t>b)</w:t>
      </w:r>
      <w:r>
        <w:rPr>
          <w:rFonts w:hint="eastAsia"/>
        </w:rPr>
        <w:tab/>
      </w:r>
      <w:r>
        <w:rPr>
          <w:rFonts w:hint="eastAsia"/>
        </w:rPr>
        <w:t>剔除异常值；</w:t>
      </w:r>
    </w:p>
    <w:p w14:paraId="3976C196">
      <w:pPr>
        <w:pStyle w:val="167"/>
      </w:pPr>
      <w:r>
        <w:rPr>
          <w:rFonts w:hint="eastAsia"/>
        </w:rPr>
        <w:t>c)</w:t>
      </w:r>
      <w:r>
        <w:rPr>
          <w:rFonts w:hint="eastAsia"/>
        </w:rPr>
        <w:tab/>
      </w:r>
      <w:r>
        <w:rPr>
          <w:rFonts w:hint="eastAsia"/>
        </w:rPr>
        <w:t>去除数据漂移；</w:t>
      </w:r>
    </w:p>
    <w:p w14:paraId="1BED75FB">
      <w:pPr>
        <w:pStyle w:val="167"/>
      </w:pPr>
      <w:r>
        <w:rPr>
          <w:rFonts w:hint="eastAsia"/>
        </w:rPr>
        <w:t>d)</w:t>
      </w:r>
      <w:r>
        <w:rPr>
          <w:rFonts w:hint="eastAsia"/>
        </w:rPr>
        <w:tab/>
      </w:r>
      <w:r>
        <w:rPr>
          <w:rFonts w:hint="eastAsia"/>
        </w:rPr>
        <w:t>填补数据缺失值。</w:t>
      </w:r>
    </w:p>
    <w:p w14:paraId="7FD3D387">
      <w:pPr>
        <w:pStyle w:val="167"/>
      </w:pPr>
      <w:r>
        <w:rPr>
          <w:rFonts w:hint="eastAsia"/>
        </w:rPr>
        <w:t>处理方法可按照表1选用。</w:t>
      </w:r>
    </w:p>
    <w:p w14:paraId="7C66EED4">
      <w:pPr>
        <w:pStyle w:val="166"/>
        <w:rPr>
          <w:b/>
          <w:bCs/>
        </w:rPr>
      </w:pPr>
      <w:r>
        <w:rPr>
          <w:rFonts w:hint="eastAsia"/>
          <w:b/>
          <w:bCs/>
        </w:rPr>
        <w:t>表1　数据失真处理方法</w:t>
      </w:r>
    </w:p>
    <w:tbl>
      <w:tblPr>
        <w:tblStyle w:val="3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64"/>
        <w:gridCol w:w="4724"/>
      </w:tblGrid>
      <w:tr w14:paraId="2B3BC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57" w:type="pct"/>
            <w:vAlign w:val="center"/>
          </w:tcPr>
          <w:p w14:paraId="13E546E9">
            <w:pPr>
              <w:pStyle w:val="168"/>
              <w:rPr>
                <w:b/>
                <w:bCs/>
              </w:rPr>
            </w:pPr>
            <w:r>
              <w:rPr>
                <w:b/>
                <w:bCs/>
              </w:rPr>
              <w:t>失真类别</w:t>
            </w:r>
          </w:p>
        </w:tc>
        <w:tc>
          <w:tcPr>
            <w:tcW w:w="2543" w:type="pct"/>
            <w:vAlign w:val="center"/>
          </w:tcPr>
          <w:p w14:paraId="5DDE10EA">
            <w:pPr>
              <w:pStyle w:val="168"/>
              <w:rPr>
                <w:b/>
                <w:bCs/>
              </w:rPr>
            </w:pPr>
            <w:r>
              <w:rPr>
                <w:b/>
                <w:bCs/>
              </w:rPr>
              <w:t>宜采用的处理方法</w:t>
            </w:r>
          </w:p>
        </w:tc>
      </w:tr>
      <w:tr w14:paraId="3D1284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57" w:type="pct"/>
          </w:tcPr>
          <w:p w14:paraId="2FDA6D38">
            <w:pPr>
              <w:pStyle w:val="168"/>
            </w:pPr>
            <w:r>
              <w:t>噪声</w:t>
            </w:r>
          </w:p>
        </w:tc>
        <w:tc>
          <w:tcPr>
            <w:tcW w:w="2543" w:type="pct"/>
          </w:tcPr>
          <w:p w14:paraId="699CBD2E">
            <w:pPr>
              <w:pStyle w:val="168"/>
            </w:pPr>
            <w:r>
              <w:t>滤波降噪处理</w:t>
            </w:r>
          </w:p>
        </w:tc>
      </w:tr>
      <w:tr w14:paraId="5D4FF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57" w:type="pct"/>
          </w:tcPr>
          <w:p w14:paraId="0A76ABB8">
            <w:pPr>
              <w:pStyle w:val="168"/>
            </w:pPr>
            <w:r>
              <w:t>单点异常</w:t>
            </w:r>
          </w:p>
        </w:tc>
        <w:tc>
          <w:tcPr>
            <w:tcW w:w="2543" w:type="pct"/>
          </w:tcPr>
          <w:p w14:paraId="05A67129">
            <w:pPr>
              <w:pStyle w:val="168"/>
            </w:pPr>
            <w:r>
              <w:t>剔除后线性插值</w:t>
            </w:r>
          </w:p>
        </w:tc>
      </w:tr>
      <w:tr w14:paraId="4A75F0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57" w:type="pct"/>
          </w:tcPr>
          <w:p w14:paraId="5FEAFEFB">
            <w:pPr>
              <w:pStyle w:val="168"/>
            </w:pPr>
            <w:r>
              <w:t>数据漂移</w:t>
            </w:r>
          </w:p>
        </w:tc>
        <w:tc>
          <w:tcPr>
            <w:tcW w:w="2543" w:type="pct"/>
          </w:tcPr>
          <w:p w14:paraId="5544C63D">
            <w:pPr>
              <w:pStyle w:val="168"/>
            </w:pPr>
            <w:r>
              <w:t>趋势拟合后平移</w:t>
            </w:r>
          </w:p>
        </w:tc>
      </w:tr>
      <w:tr w14:paraId="488784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57" w:type="pct"/>
          </w:tcPr>
          <w:p w14:paraId="29A94523">
            <w:pPr>
              <w:pStyle w:val="168"/>
            </w:pPr>
            <w:r>
              <w:t>数据缺失</w:t>
            </w:r>
          </w:p>
        </w:tc>
        <w:tc>
          <w:tcPr>
            <w:tcW w:w="2543" w:type="pct"/>
          </w:tcPr>
          <w:p w14:paraId="5DCE25A8">
            <w:pPr>
              <w:pStyle w:val="168"/>
            </w:pPr>
            <w:r>
              <w:t>填补或弃用</w:t>
            </w:r>
          </w:p>
        </w:tc>
      </w:tr>
    </w:tbl>
    <w:p w14:paraId="1205810E">
      <w:pPr>
        <w:pStyle w:val="161"/>
      </w:pPr>
    </w:p>
    <w:p w14:paraId="7834B0D4">
      <w:pPr>
        <w:pStyle w:val="161"/>
      </w:pPr>
      <w:r>
        <w:rPr>
          <w:rFonts w:hint="eastAsia"/>
          <w:b/>
        </w:rPr>
        <w:t>5.5.2　</w:t>
      </w:r>
      <w:r>
        <w:rPr>
          <w:rFonts w:hint="eastAsia"/>
        </w:rPr>
        <w:t>视频图像监测数据宜采用图像识别智能算法进行处理。</w:t>
      </w:r>
    </w:p>
    <w:p w14:paraId="18709E71">
      <w:pPr>
        <w:pStyle w:val="161"/>
      </w:pPr>
      <w:r>
        <w:rPr>
          <w:rFonts w:hint="eastAsia"/>
          <w:b/>
        </w:rPr>
        <w:t>5.5.3　</w:t>
      </w:r>
      <w:r>
        <w:rPr>
          <w:rFonts w:hint="eastAsia"/>
        </w:rPr>
        <w:t>分析船舶与水上构筑物之间的净距可采用雷达数据，宜结合视频图像监测数据。</w:t>
      </w:r>
    </w:p>
    <w:p w14:paraId="337B1E68">
      <w:pPr>
        <w:pStyle w:val="161"/>
      </w:pPr>
      <w:r>
        <w:rPr>
          <w:rFonts w:hint="eastAsia"/>
          <w:b/>
        </w:rPr>
        <w:t>5.5.4　</w:t>
      </w:r>
      <w:r>
        <w:rPr>
          <w:rFonts w:hint="eastAsia"/>
        </w:rPr>
        <w:t>系统应对历史监测数据与事件记录进行数据挖掘，分析船舶航行行为规律，统计高频风险场景，评估构筑物的长期碰撞风险，并基于分析结果持续优化预警阈值。</w:t>
      </w:r>
    </w:p>
    <w:p w14:paraId="154A4EF4">
      <w:pPr>
        <w:pStyle w:val="159"/>
      </w:pPr>
      <w:bookmarkStart w:id="36" w:name="_Toc221528760"/>
      <w:bookmarkStart w:id="37" w:name="_Toc221528689"/>
      <w:r>
        <w:rPr>
          <w:rFonts w:hint="eastAsia"/>
        </w:rPr>
        <w:t>5.6  数据存储</w:t>
      </w:r>
      <w:bookmarkEnd w:id="36"/>
      <w:bookmarkEnd w:id="37"/>
    </w:p>
    <w:p w14:paraId="5EC3B1F1">
      <w:pPr>
        <w:pStyle w:val="161"/>
        <w:rPr>
          <w:b/>
        </w:rPr>
      </w:pPr>
      <w:r>
        <w:rPr>
          <w:rFonts w:hint="eastAsia"/>
          <w:b/>
        </w:rPr>
        <w:t>5.6.1　</w:t>
      </w:r>
      <w:r>
        <w:rPr>
          <w:rFonts w:hint="eastAsia"/>
          <w:bCs/>
        </w:rPr>
        <w:t>水上构筑物防船撞监测数据存储宜由现场采集站、监控中心和云存储构成，形成多级冗余。存储方式可采用在线与离线相结合。</w:t>
      </w:r>
    </w:p>
    <w:p w14:paraId="148E5973">
      <w:pPr>
        <w:pStyle w:val="161"/>
      </w:pPr>
      <w:r>
        <w:rPr>
          <w:rFonts w:hint="eastAsia"/>
          <w:b/>
        </w:rPr>
        <w:t>5.6.2　</w:t>
      </w:r>
      <w:r>
        <w:rPr>
          <w:rFonts w:hint="eastAsia"/>
        </w:rPr>
        <w:t>监测数据应采用数据库技术存储，应提供存储调度、存储监控及存储管理可视化功能。数据库宜采用模块化架构，可按功能对数据分层、分类存储和管理。宜包括水上构筑物结构信息子数据库、日常通航船舶子数据库、预警事件子数据库、监测系统信息子数据库、数据分析子数据库、监测应用子数据库。</w:t>
      </w:r>
    </w:p>
    <w:p w14:paraId="340A3DA9">
      <w:pPr>
        <w:pStyle w:val="161"/>
        <w:rPr>
          <w:b/>
        </w:rPr>
      </w:pPr>
      <w:r>
        <w:rPr>
          <w:rFonts w:hint="eastAsia"/>
          <w:b/>
        </w:rPr>
        <w:t>5.6.3　</w:t>
      </w:r>
      <w:r>
        <w:rPr>
          <w:rFonts w:hint="eastAsia"/>
          <w:bCs/>
        </w:rPr>
        <w:t>数据存储宜采用容灾备份机制，可具备各类数据压缩存储和异地备份功能。</w:t>
      </w:r>
    </w:p>
    <w:p w14:paraId="07EC4EAB">
      <w:pPr>
        <w:pStyle w:val="161"/>
      </w:pPr>
      <w:r>
        <w:rPr>
          <w:rFonts w:hint="eastAsia"/>
          <w:b/>
        </w:rPr>
        <w:t>5.6.4　</w:t>
      </w:r>
      <w:r>
        <w:rPr>
          <w:rFonts w:hint="eastAsia"/>
        </w:rPr>
        <w:t>存储数据的单位，应采用国际单位制，应符合GB 3100的规定。</w:t>
      </w:r>
    </w:p>
    <w:p w14:paraId="0F92BA89">
      <w:pPr>
        <w:pStyle w:val="161"/>
        <w:rPr>
          <w:bCs/>
        </w:rPr>
      </w:pPr>
      <w:r>
        <w:rPr>
          <w:rFonts w:hint="eastAsia"/>
          <w:b/>
        </w:rPr>
        <w:t>5.6.5　</w:t>
      </w:r>
      <w:r>
        <w:rPr>
          <w:rFonts w:hint="eastAsia"/>
          <w:bCs/>
        </w:rPr>
        <w:t>水上构筑物现场数据采集站内宜安装采集计算机，采用循环更新存储方式。</w:t>
      </w:r>
    </w:p>
    <w:p w14:paraId="0B0AC708">
      <w:pPr>
        <w:pStyle w:val="161"/>
      </w:pPr>
      <w:r>
        <w:rPr>
          <w:rFonts w:hint="eastAsia"/>
          <w:b/>
        </w:rPr>
        <w:t>5.6.6　</w:t>
      </w:r>
      <w:r>
        <w:rPr>
          <w:rFonts w:hint="eastAsia"/>
        </w:rPr>
        <w:t>现场采集站的数据存储时间宜符合下列规定：</w:t>
      </w:r>
    </w:p>
    <w:p w14:paraId="3782264B">
      <w:pPr>
        <w:pStyle w:val="167"/>
      </w:pPr>
      <w:r>
        <w:rPr>
          <w:rFonts w:hint="eastAsia"/>
        </w:rPr>
        <w:t>a)</w:t>
      </w:r>
      <w:r>
        <w:rPr>
          <w:rFonts w:hint="eastAsia"/>
        </w:rPr>
        <w:tab/>
      </w:r>
      <w:r>
        <w:rPr>
          <w:rFonts w:hint="eastAsia"/>
        </w:rPr>
        <w:t>视频与图像数据存储时间不应少于30d，并宜采用事件触发与定时录制相结合的节能存储策略；</w:t>
      </w:r>
    </w:p>
    <w:p w14:paraId="1703E16B">
      <w:pPr>
        <w:pStyle w:val="167"/>
      </w:pPr>
      <w:r>
        <w:rPr>
          <w:rFonts w:hint="eastAsia"/>
        </w:rPr>
        <w:t>b)</w:t>
      </w:r>
      <w:r>
        <w:rPr>
          <w:rFonts w:hint="eastAsia"/>
        </w:rPr>
        <w:tab/>
      </w:r>
      <w:r>
        <w:rPr>
          <w:rFonts w:hint="eastAsia"/>
        </w:rPr>
        <w:t>其它原始监测数据保留时间宜大于90d；</w:t>
      </w:r>
    </w:p>
    <w:p w14:paraId="0AEB7501">
      <w:pPr>
        <w:pStyle w:val="167"/>
      </w:pPr>
      <w:r>
        <w:rPr>
          <w:rFonts w:hint="eastAsia"/>
        </w:rPr>
        <w:t>c)</w:t>
      </w:r>
      <w:r>
        <w:rPr>
          <w:rFonts w:hint="eastAsia"/>
        </w:rPr>
        <w:tab/>
      </w:r>
      <w:r>
        <w:rPr>
          <w:rFonts w:hint="eastAsia"/>
        </w:rPr>
        <w:t>经处理后的特征数据、安全预警、评估结果等结构化数据保留时间宜大于180d。</w:t>
      </w:r>
    </w:p>
    <w:p w14:paraId="05F46482">
      <w:pPr>
        <w:pStyle w:val="161"/>
        <w:rPr>
          <w:bCs/>
        </w:rPr>
      </w:pPr>
      <w:r>
        <w:rPr>
          <w:rFonts w:hint="eastAsia"/>
          <w:b/>
        </w:rPr>
        <w:t>5.6.7　</w:t>
      </w:r>
      <w:r>
        <w:rPr>
          <w:rFonts w:hint="eastAsia"/>
          <w:bCs/>
        </w:rPr>
        <w:t>监控中心所存储的数据保留时间宜符合下列规定：</w:t>
      </w:r>
    </w:p>
    <w:p w14:paraId="0BC08B19">
      <w:pPr>
        <w:pStyle w:val="167"/>
        <w:rPr>
          <w:bCs/>
        </w:rPr>
      </w:pPr>
      <w:r>
        <w:rPr>
          <w:rFonts w:hint="eastAsia"/>
          <w:bCs/>
        </w:rPr>
        <w:t>a)</w:t>
      </w:r>
      <w:r>
        <w:rPr>
          <w:rFonts w:hint="eastAsia"/>
          <w:bCs/>
        </w:rPr>
        <w:tab/>
      </w:r>
      <w:r>
        <w:rPr>
          <w:rFonts w:hint="eastAsia"/>
          <w:bCs/>
        </w:rPr>
        <w:t>视频与图像数据存储时间宜大于180d，特殊事件视频数据应转移备份永久保存；</w:t>
      </w:r>
    </w:p>
    <w:p w14:paraId="74A4F693">
      <w:pPr>
        <w:pStyle w:val="167"/>
        <w:rPr>
          <w:bCs/>
        </w:rPr>
      </w:pPr>
      <w:r>
        <w:rPr>
          <w:rFonts w:hint="eastAsia"/>
          <w:bCs/>
        </w:rPr>
        <w:t>b)</w:t>
      </w:r>
      <w:r>
        <w:rPr>
          <w:rFonts w:hint="eastAsia"/>
          <w:bCs/>
        </w:rPr>
        <w:tab/>
      </w:r>
      <w:r>
        <w:rPr>
          <w:rFonts w:hint="eastAsia"/>
          <w:bCs/>
        </w:rPr>
        <w:t>其它原始监测数据保留时间宜大于5年；</w:t>
      </w:r>
    </w:p>
    <w:p w14:paraId="779463F4">
      <w:pPr>
        <w:pStyle w:val="167"/>
        <w:rPr>
          <w:bCs/>
        </w:rPr>
      </w:pPr>
      <w:r>
        <w:rPr>
          <w:rFonts w:hint="eastAsia"/>
          <w:bCs/>
        </w:rPr>
        <w:t>c)</w:t>
      </w:r>
      <w:r>
        <w:rPr>
          <w:rFonts w:hint="eastAsia"/>
          <w:bCs/>
        </w:rPr>
        <w:tab/>
      </w:r>
      <w:r>
        <w:rPr>
          <w:rFonts w:hint="eastAsia"/>
          <w:bCs/>
        </w:rPr>
        <w:t>经处理后的特征数据、安全预警、评估结果等结构化数据保留时间宜大于20年。</w:t>
      </w:r>
    </w:p>
    <w:p w14:paraId="12CB7FE7">
      <w:pPr>
        <w:pStyle w:val="159"/>
      </w:pPr>
      <w:bookmarkStart w:id="38" w:name="_Toc221528690"/>
      <w:bookmarkStart w:id="39" w:name="_Toc221528761"/>
      <w:r>
        <w:rPr>
          <w:rFonts w:hint="eastAsia"/>
        </w:rPr>
        <w:t>5.7  数据交互与安全</w:t>
      </w:r>
      <w:bookmarkEnd w:id="38"/>
      <w:bookmarkEnd w:id="39"/>
    </w:p>
    <w:p w14:paraId="23F688ED">
      <w:pPr>
        <w:pStyle w:val="161"/>
      </w:pPr>
      <w:r>
        <w:rPr>
          <w:rFonts w:hint="eastAsia"/>
          <w:b/>
        </w:rPr>
        <w:t>5.7.1　</w:t>
      </w:r>
      <w:r>
        <w:rPr>
          <w:rFonts w:hint="eastAsia"/>
        </w:rPr>
        <w:t>监测系统宜具备与水上构筑物管理部门、航道管理部门、海事管理机构及上级监管平台的数据交互与共享功能。数据交互应满足下列要求：</w:t>
      </w:r>
    </w:p>
    <w:p w14:paraId="43EFB4EE">
      <w:pPr>
        <w:pStyle w:val="167"/>
      </w:pPr>
      <w:r>
        <w:rPr>
          <w:rFonts w:hint="eastAsia"/>
        </w:rPr>
        <w:t>a)</w:t>
      </w:r>
      <w:r>
        <w:rPr>
          <w:rFonts w:hint="eastAsia"/>
        </w:rPr>
        <w:tab/>
      </w:r>
      <w:r>
        <w:rPr>
          <w:rFonts w:hint="eastAsia"/>
        </w:rPr>
        <w:t>监测系统与外部系统数据交互方式可采用数据交换接口、中间存储介质或数据库同步等方式；</w:t>
      </w:r>
    </w:p>
    <w:p w14:paraId="5DFCD737">
      <w:pPr>
        <w:pStyle w:val="167"/>
      </w:pPr>
      <w:r>
        <w:rPr>
          <w:rFonts w:hint="eastAsia"/>
        </w:rPr>
        <w:t>b)</w:t>
      </w:r>
      <w:r>
        <w:rPr>
          <w:rFonts w:hint="eastAsia"/>
        </w:rPr>
        <w:tab/>
      </w:r>
      <w:r>
        <w:rPr>
          <w:rFonts w:hint="eastAsia"/>
        </w:rPr>
        <w:t>数据交互应采取权限验证和安全管理措施，数据通过互联网传输时应进行传输加密和身份认证；</w:t>
      </w:r>
    </w:p>
    <w:p w14:paraId="47D94121">
      <w:pPr>
        <w:pStyle w:val="167"/>
      </w:pPr>
      <w:r>
        <w:rPr>
          <w:rFonts w:hint="eastAsia"/>
        </w:rPr>
        <w:t>c)</w:t>
      </w:r>
      <w:r>
        <w:rPr>
          <w:rFonts w:hint="eastAsia"/>
        </w:rPr>
        <w:tab/>
      </w:r>
      <w:r>
        <w:rPr>
          <w:rFonts w:hint="eastAsia"/>
        </w:rPr>
        <w:t>监测系统与省、部级监测平台数据交互与共享时，应满足省、部级平台统一的链路、传输安全技术要求。</w:t>
      </w:r>
    </w:p>
    <w:p w14:paraId="74A47B42">
      <w:pPr>
        <w:pStyle w:val="161"/>
      </w:pPr>
      <w:r>
        <w:rPr>
          <w:rFonts w:hint="eastAsia"/>
          <w:b/>
        </w:rPr>
        <w:t>5.7.2　</w:t>
      </w:r>
      <w:r>
        <w:rPr>
          <w:rFonts w:hint="eastAsia"/>
        </w:rPr>
        <w:t>监测数据管理的安全应符合下列规定：</w:t>
      </w:r>
    </w:p>
    <w:p w14:paraId="65197EDF">
      <w:pPr>
        <w:pStyle w:val="167"/>
      </w:pPr>
      <w:r>
        <w:rPr>
          <w:rFonts w:hint="eastAsia"/>
        </w:rPr>
        <w:t>a)</w:t>
      </w:r>
      <w:r>
        <w:rPr>
          <w:rFonts w:hint="eastAsia"/>
        </w:rPr>
        <w:tab/>
      </w:r>
      <w:r>
        <w:rPr>
          <w:rFonts w:hint="eastAsia"/>
        </w:rPr>
        <w:t>承载重要或高风险水上构筑物监测业务的信息系统，其监测系统的网络安全等级应定级为第三级及以上，并按 GB/T 22239 实施安全防护；</w:t>
      </w:r>
    </w:p>
    <w:p w14:paraId="1E25206F">
      <w:pPr>
        <w:pStyle w:val="167"/>
      </w:pPr>
      <w:r>
        <w:rPr>
          <w:rFonts w:hint="eastAsia"/>
        </w:rPr>
        <w:t>b)</w:t>
      </w:r>
      <w:r>
        <w:rPr>
          <w:rFonts w:hint="eastAsia"/>
        </w:rPr>
        <w:tab/>
      </w:r>
      <w:r>
        <w:rPr>
          <w:rFonts w:hint="eastAsia"/>
        </w:rPr>
        <w:t>其它监测系统安全防护不应低于第二级安全防护要求。</w:t>
      </w:r>
    </w:p>
    <w:p w14:paraId="1159F9A0">
      <w:pPr>
        <w:pStyle w:val="161"/>
      </w:pPr>
      <w:r>
        <w:rPr>
          <w:rFonts w:hint="eastAsia"/>
          <w:b/>
        </w:rPr>
        <w:t>5.7.3　</w:t>
      </w:r>
      <w:r>
        <w:rPr>
          <w:rFonts w:hint="eastAsia"/>
        </w:rPr>
        <w:t>安全防护应包括数据完整性保护、敏感数据加密存储、公网传输加密、访问权限控制和数据访问审计。</w:t>
      </w:r>
      <w:r>
        <w:br w:type="page"/>
      </w:r>
    </w:p>
    <w:p w14:paraId="43CA248D">
      <w:pPr>
        <w:pStyle w:val="158"/>
      </w:pPr>
      <w:bookmarkStart w:id="40" w:name="_Toc221528691"/>
      <w:bookmarkStart w:id="41" w:name="_Toc221528762"/>
      <w:r>
        <w:rPr>
          <w:rFonts w:hint="eastAsia"/>
          <w:lang w:eastAsia="zh-CN"/>
        </w:rPr>
        <w:t xml:space="preserve">6  </w:t>
      </w:r>
      <w:r>
        <w:rPr>
          <w:rFonts w:hint="eastAsia"/>
        </w:rPr>
        <w:t>预警分区与预警方式</w:t>
      </w:r>
      <w:bookmarkEnd w:id="40"/>
      <w:bookmarkEnd w:id="41"/>
    </w:p>
    <w:p w14:paraId="3CE8FC41">
      <w:pPr>
        <w:pStyle w:val="159"/>
      </w:pPr>
      <w:bookmarkStart w:id="42" w:name="_Toc221528763"/>
      <w:bookmarkStart w:id="43" w:name="_Toc221528692"/>
      <w:r>
        <w:rPr>
          <w:rFonts w:hint="eastAsia"/>
        </w:rPr>
        <w:t>6.1  预警分区</w:t>
      </w:r>
      <w:bookmarkEnd w:id="42"/>
      <w:bookmarkEnd w:id="43"/>
    </w:p>
    <w:p w14:paraId="51222AF2">
      <w:pPr>
        <w:pStyle w:val="161"/>
      </w:pPr>
      <w:r>
        <w:rPr>
          <w:rFonts w:hint="eastAsia"/>
          <w:b/>
        </w:rPr>
        <w:t>6.1.1　</w:t>
      </w:r>
      <w:r>
        <w:rPr>
          <w:rFonts w:hint="eastAsia"/>
        </w:rPr>
        <w:t>预警分区宜按照船舶撞击概率进行划分，可划分为一级预警区域、二级预警区域和三级预警区域。不同预警分区内宜采用不同的监测设备和预警方式。</w:t>
      </w:r>
    </w:p>
    <w:p w14:paraId="26D65DE2">
      <w:pPr>
        <w:pStyle w:val="161"/>
      </w:pPr>
      <w:r>
        <w:rPr>
          <w:rFonts w:hint="eastAsia"/>
          <w:b/>
        </w:rPr>
        <w:t>6.1.2　</w:t>
      </w:r>
      <w:r>
        <w:rPr>
          <w:rFonts w:hint="eastAsia"/>
        </w:rPr>
        <w:t>在进行预警区域设计时，宜对目标水域展开以下工作：</w:t>
      </w:r>
    </w:p>
    <w:p w14:paraId="08DC6406">
      <w:pPr>
        <w:pStyle w:val="167"/>
      </w:pPr>
      <w:r>
        <w:rPr>
          <w:rFonts w:hint="eastAsia"/>
        </w:rPr>
        <w:t>a)</w:t>
      </w:r>
      <w:r>
        <w:rPr>
          <w:rFonts w:hint="eastAsia"/>
        </w:rPr>
        <w:tab/>
      </w:r>
      <w:r>
        <w:rPr>
          <w:rFonts w:hint="eastAsia"/>
        </w:rPr>
        <w:t>调查目标水域处通航的总数量与船舶分类，并分析统计规律，确定不同概率下的设防代表船型；</w:t>
      </w:r>
    </w:p>
    <w:p w14:paraId="09F5E125">
      <w:pPr>
        <w:pStyle w:val="167"/>
      </w:pPr>
      <w:r>
        <w:rPr>
          <w:rFonts w:hint="eastAsia"/>
        </w:rPr>
        <w:t>b)</w:t>
      </w:r>
      <w:r>
        <w:rPr>
          <w:rFonts w:hint="eastAsia"/>
        </w:rPr>
        <w:tab/>
      </w:r>
      <w:r>
        <w:rPr>
          <w:rFonts w:hint="eastAsia"/>
        </w:rPr>
        <w:t>调查构筑物上下游10km内近十年的船撞事故资料；</w:t>
      </w:r>
    </w:p>
    <w:p w14:paraId="38CB0D4D">
      <w:pPr>
        <w:pStyle w:val="167"/>
      </w:pPr>
      <w:r>
        <w:rPr>
          <w:rFonts w:hint="eastAsia"/>
        </w:rPr>
        <w:t>c)</w:t>
      </w:r>
      <w:r>
        <w:rPr>
          <w:rFonts w:hint="eastAsia"/>
        </w:rPr>
        <w:tab/>
      </w:r>
      <w:r>
        <w:rPr>
          <w:rFonts w:hint="eastAsia"/>
        </w:rPr>
        <w:t>调查近五十年来目标水域通航航道及河道变迁情况；</w:t>
      </w:r>
    </w:p>
    <w:p w14:paraId="60CA1A0A">
      <w:pPr>
        <w:pStyle w:val="167"/>
      </w:pPr>
      <w:r>
        <w:rPr>
          <w:rFonts w:hint="eastAsia"/>
        </w:rPr>
        <w:t>d)</w:t>
      </w:r>
      <w:r>
        <w:rPr>
          <w:rFonts w:hint="eastAsia"/>
        </w:rPr>
        <w:tab/>
      </w:r>
      <w:r>
        <w:rPr>
          <w:rFonts w:hint="eastAsia"/>
        </w:rPr>
        <w:t>调查目标水域航道、河道、通航船舶发展规划。</w:t>
      </w:r>
    </w:p>
    <w:p w14:paraId="4455CE05">
      <w:pPr>
        <w:pStyle w:val="161"/>
      </w:pPr>
      <w:r>
        <w:rPr>
          <w:rFonts w:hint="eastAsia"/>
          <w:b/>
        </w:rPr>
        <w:t>6.1.3　</w:t>
      </w:r>
      <w:r>
        <w:rPr>
          <w:rFonts w:hint="eastAsia"/>
        </w:rPr>
        <w:t>不同预警区域的范围可按照以下原则确定：</w:t>
      </w:r>
    </w:p>
    <w:p w14:paraId="2ACD6E3C">
      <w:pPr>
        <w:pStyle w:val="167"/>
      </w:pPr>
      <w:r>
        <w:rPr>
          <w:rFonts w:hint="eastAsia"/>
        </w:rPr>
        <w:t>a)</w:t>
      </w:r>
      <w:r>
        <w:rPr>
          <w:rFonts w:hint="eastAsia"/>
        </w:rPr>
        <w:tab/>
      </w:r>
      <w:r>
        <w:rPr>
          <w:rFonts w:hint="eastAsia"/>
        </w:rPr>
        <w:t>一级预警区域的起始点：构筑物防船撞安全距离；</w:t>
      </w:r>
    </w:p>
    <w:p w14:paraId="260AB42A">
      <w:pPr>
        <w:pStyle w:val="167"/>
      </w:pPr>
      <w:r>
        <w:rPr>
          <w:rFonts w:hint="eastAsia"/>
        </w:rPr>
        <w:t>b)</w:t>
      </w:r>
      <w:r>
        <w:rPr>
          <w:rFonts w:hint="eastAsia"/>
        </w:rPr>
        <w:tab/>
      </w:r>
      <w:r>
        <w:rPr>
          <w:rFonts w:hint="eastAsia"/>
        </w:rPr>
        <w:t>二级预警区域的起始点：综合考虑水域环境、通航情况、以往船撞事故信息等确定，可取为1.5倍到2.5倍的构筑物防船撞安全距离；</w:t>
      </w:r>
    </w:p>
    <w:p w14:paraId="03AE63DD">
      <w:pPr>
        <w:pStyle w:val="167"/>
      </w:pPr>
      <w:r>
        <w:rPr>
          <w:rFonts w:hint="eastAsia"/>
        </w:rPr>
        <w:t>c)</w:t>
      </w:r>
      <w:r>
        <w:rPr>
          <w:rFonts w:hint="eastAsia"/>
        </w:rPr>
        <w:tab/>
      </w:r>
      <w:r>
        <w:rPr>
          <w:rFonts w:hint="eastAsia"/>
        </w:rPr>
        <w:t>三级预警区域的起始点：在雷达所能覆盖且能准确识别、定位的范围之内。</w:t>
      </w:r>
    </w:p>
    <w:p w14:paraId="5439B607">
      <w:pPr>
        <w:pStyle w:val="161"/>
      </w:pPr>
      <w:r>
        <w:rPr>
          <w:rFonts w:hint="eastAsia"/>
          <w:b/>
        </w:rPr>
        <w:t>6.1.4　</w:t>
      </w:r>
      <w:r>
        <w:rPr>
          <w:rFonts w:hint="eastAsia"/>
        </w:rPr>
        <w:t>计算桥梁的防船撞安全距离时，应符合下列规定：</w:t>
      </w:r>
    </w:p>
    <w:p w14:paraId="450912D8">
      <w:pPr>
        <w:pStyle w:val="167"/>
      </w:pPr>
      <w:r>
        <w:rPr>
          <w:rFonts w:hint="eastAsia"/>
        </w:rPr>
        <w:t>a)</w:t>
      </w:r>
      <w:r>
        <w:rPr>
          <w:rFonts w:hint="eastAsia"/>
        </w:rPr>
        <w:tab/>
      </w:r>
      <w:r>
        <w:rPr>
          <w:rFonts w:hint="eastAsia"/>
        </w:rPr>
        <w:t>防船撞安全距离的计算应首先进行船舶交通流特性分析，分析应涵盖通航船舶的吨位、船舶尺寸信息、对地航速以及水流条件等因素，并确定设防代表船型和对地航速；</w:t>
      </w:r>
    </w:p>
    <w:p w14:paraId="0824BC51">
      <w:pPr>
        <w:pStyle w:val="167"/>
      </w:pPr>
      <w:r>
        <w:rPr>
          <w:rFonts w:hint="eastAsia"/>
        </w:rPr>
        <w:t>b)</w:t>
      </w:r>
      <w:r>
        <w:rPr>
          <w:rFonts w:hint="eastAsia"/>
        </w:rPr>
        <w:tab/>
      </w:r>
      <w:r>
        <w:rPr>
          <w:rFonts w:hint="eastAsia"/>
        </w:rPr>
        <w:t>在缺乏详实统计数据时，可参考JTG/T 3360-02对设防代表船型和对地航速进行估计，但应通过监测数据对其进行修正；</w:t>
      </w:r>
    </w:p>
    <w:p w14:paraId="04592CB9">
      <w:pPr>
        <w:pStyle w:val="167"/>
      </w:pPr>
      <w:r>
        <w:rPr>
          <w:rFonts w:hint="eastAsia"/>
        </w:rPr>
        <w:t>c)</w:t>
      </w:r>
      <w:r>
        <w:rPr>
          <w:rFonts w:hint="eastAsia"/>
        </w:rPr>
        <w:tab/>
      </w:r>
      <w:r>
        <w:rPr>
          <w:rFonts w:hint="eastAsia"/>
        </w:rPr>
        <w:t>参照附录D计算防船撞安全距离。</w:t>
      </w:r>
    </w:p>
    <w:p w14:paraId="6C1558A5">
      <w:pPr>
        <w:pStyle w:val="161"/>
      </w:pPr>
      <w:r>
        <w:rPr>
          <w:rFonts w:hint="eastAsia"/>
          <w:b/>
        </w:rPr>
        <w:t>6.1.5　</w:t>
      </w:r>
      <w:r>
        <w:rPr>
          <w:rFonts w:hint="eastAsia"/>
        </w:rPr>
        <w:t>桥下通航净高不满足航道通航净高要求时，应进行超高预警。Ⅰ级、Ⅱ级航道的船舶超高监测预警裕量不应小于1m，其他航道不应小于0.5m。</w:t>
      </w:r>
    </w:p>
    <w:p w14:paraId="09F6AEED">
      <w:pPr>
        <w:pStyle w:val="161"/>
      </w:pPr>
      <w:r>
        <w:rPr>
          <w:rFonts w:hint="eastAsia"/>
          <w:b/>
        </w:rPr>
        <w:t>6.1.6　</w:t>
      </w:r>
      <w:r>
        <w:rPr>
          <w:rFonts w:hint="eastAsia"/>
        </w:rPr>
        <w:t>计算非固定式的水上房屋和钻井平台等水上构筑物的防船撞安全距离时，应计入构筑物自身的浮动范围。</w:t>
      </w:r>
    </w:p>
    <w:p w14:paraId="57A16CAC">
      <w:pPr>
        <w:pStyle w:val="161"/>
      </w:pPr>
      <w:r>
        <w:rPr>
          <w:rFonts w:hint="eastAsia"/>
          <w:b/>
        </w:rPr>
        <w:t>6.1.7　</w:t>
      </w:r>
      <w:r>
        <w:rPr>
          <w:rFonts w:hint="eastAsia"/>
        </w:rPr>
        <w:t>计算钻井平台的防船撞安全距离时，应考虑吊机的作业范围。</w:t>
      </w:r>
    </w:p>
    <w:p w14:paraId="66D2F3A0">
      <w:pPr>
        <w:pStyle w:val="161"/>
      </w:pPr>
      <w:r>
        <w:rPr>
          <w:rFonts w:hint="eastAsia"/>
          <w:b/>
        </w:rPr>
        <w:t>6.1.8　</w:t>
      </w:r>
      <w:r>
        <w:rPr>
          <w:rFonts w:hint="eastAsia"/>
        </w:rPr>
        <w:t>计算海上风电场的防船撞安全距离时，应考虑风速对船舶制动距离的影响。</w:t>
      </w:r>
    </w:p>
    <w:p w14:paraId="45D9259B">
      <w:pPr>
        <w:pStyle w:val="161"/>
      </w:pPr>
      <w:r>
        <w:rPr>
          <w:rFonts w:hint="eastAsia"/>
          <w:b/>
        </w:rPr>
        <w:t>6.1.9　</w:t>
      </w:r>
      <w:r>
        <w:rPr>
          <w:rFonts w:hint="eastAsia"/>
        </w:rPr>
        <w:t>计算码头的防船撞安全距离时，应考虑拖轮对制动距离的影响。</w:t>
      </w:r>
    </w:p>
    <w:p w14:paraId="3684750A">
      <w:pPr>
        <w:pStyle w:val="161"/>
      </w:pPr>
      <w:r>
        <w:rPr>
          <w:rFonts w:hint="eastAsia"/>
          <w:b/>
        </w:rPr>
        <w:t>6.1.10　</w:t>
      </w:r>
      <w:r>
        <w:rPr>
          <w:rFonts w:hint="eastAsia"/>
        </w:rPr>
        <w:t>计算防船撞设施的防船撞安全距离时，应乘以0.8的结构重要性系数。</w:t>
      </w:r>
    </w:p>
    <w:p w14:paraId="128AD049">
      <w:pPr>
        <w:pStyle w:val="159"/>
      </w:pPr>
      <w:bookmarkStart w:id="44" w:name="_Toc221528693"/>
      <w:bookmarkStart w:id="45" w:name="_Toc221528764"/>
      <w:r>
        <w:rPr>
          <w:rFonts w:hint="eastAsia"/>
        </w:rPr>
        <w:t>6.2  预警方式</w:t>
      </w:r>
      <w:bookmarkEnd w:id="44"/>
      <w:bookmarkEnd w:id="45"/>
    </w:p>
    <w:p w14:paraId="72653737">
      <w:pPr>
        <w:pStyle w:val="161"/>
      </w:pPr>
      <w:r>
        <w:rPr>
          <w:rFonts w:hint="eastAsia"/>
          <w:b/>
        </w:rPr>
        <w:t>6.2.1　</w:t>
      </w:r>
      <w:r>
        <w:rPr>
          <w:rFonts w:hint="eastAsia"/>
        </w:rPr>
        <w:t>船舶驶入一级预警区域时，预警信息应包含船舶与水上构筑物的水平净距、航向、航速、应急联系信息等，宜采用VHF、电笛、警示灯等方式对船舶和水上构筑物管理部门发布预警信息。</w:t>
      </w:r>
    </w:p>
    <w:p w14:paraId="300429C0">
      <w:pPr>
        <w:pStyle w:val="161"/>
      </w:pPr>
      <w:r>
        <w:rPr>
          <w:rFonts w:hint="eastAsia"/>
          <w:b/>
        </w:rPr>
        <w:t>6.2.2　</w:t>
      </w:r>
      <w:r>
        <w:rPr>
          <w:rFonts w:hint="eastAsia"/>
        </w:rPr>
        <w:t>船舶驶入二级预警区域时，预警信息应包含船舶与构筑物的水平净距、航向、航速、通航信息、气象水文参数等，宜采用VHF、警示灯等方式对船舶和水上构筑物管理部门发布预警信息。</w:t>
      </w:r>
    </w:p>
    <w:p w14:paraId="2AC26C77">
      <w:pPr>
        <w:pStyle w:val="161"/>
      </w:pPr>
      <w:r>
        <w:rPr>
          <w:rFonts w:hint="eastAsia"/>
          <w:b/>
        </w:rPr>
        <w:t>6.2.3　</w:t>
      </w:r>
      <w:r>
        <w:rPr>
          <w:rFonts w:hint="eastAsia"/>
        </w:rPr>
        <w:t>船舶驶入三级预警区域时，预警信息宜包含通航信息及气象水文参数等，宜采用VHF对船舶发布预警信息。</w:t>
      </w:r>
    </w:p>
    <w:p w14:paraId="7E1DBA96">
      <w:pPr>
        <w:pStyle w:val="161"/>
      </w:pPr>
      <w:r>
        <w:rPr>
          <w:rFonts w:hint="eastAsia"/>
          <w:b/>
        </w:rPr>
        <w:t>6.2.4　</w:t>
      </w:r>
      <w:r>
        <w:rPr>
          <w:rFonts w:hint="eastAsia"/>
        </w:rPr>
        <w:t>VHF的发射频道应执行当地管理规定，宜设置为156.800MHz，发射功率可根据现场条件调节，警信息播报应按以下要求执行：</w:t>
      </w:r>
    </w:p>
    <w:p w14:paraId="61900299">
      <w:pPr>
        <w:pStyle w:val="167"/>
      </w:pPr>
      <w:r>
        <w:rPr>
          <w:rFonts w:hint="eastAsia"/>
        </w:rPr>
        <w:t>a) 一级预警区域首次触发后应立即播报，之后每 5 秒重复 1 次，直至船舶驶离预警区或预警解除；</w:t>
      </w:r>
    </w:p>
    <w:p w14:paraId="6CC08FBB">
      <w:pPr>
        <w:pStyle w:val="167"/>
      </w:pPr>
      <w:r>
        <w:rPr>
          <w:rFonts w:hint="eastAsia"/>
        </w:rPr>
        <w:t>b) 二级预警区域首次触发后应立即播报，之后每 10 秒重复 1 次，直至船舶驶离预警区或预警解除；</w:t>
      </w:r>
    </w:p>
    <w:p w14:paraId="3256E535">
      <w:pPr>
        <w:pStyle w:val="167"/>
      </w:pPr>
      <w:r>
        <w:rPr>
          <w:rFonts w:hint="eastAsia"/>
        </w:rPr>
        <w:t>c) 三级预警区域首次触发后应立即定向呼叫目标船舶，之后每 30 秒重复 1 次，直至船舶接受管控指令或驶离预警区。</w:t>
      </w:r>
    </w:p>
    <w:p w14:paraId="4AA3E7DD">
      <w:pPr>
        <w:pStyle w:val="167"/>
      </w:pPr>
      <w:r>
        <w:rPr>
          <w:rFonts w:hint="eastAsia"/>
        </w:rPr>
        <w:t>其余技术要求应符合 JT/T 679 的规定。</w:t>
      </w:r>
    </w:p>
    <w:p w14:paraId="2F89F1A4">
      <w:pPr>
        <w:pStyle w:val="161"/>
        <w:rPr>
          <w:b/>
        </w:rPr>
      </w:pPr>
      <w:r>
        <w:rPr>
          <w:rFonts w:hint="eastAsia"/>
          <w:b/>
        </w:rPr>
        <w:t>6.2.5　</w:t>
      </w:r>
      <w:r>
        <w:rPr>
          <w:rFonts w:hint="eastAsia"/>
        </w:rPr>
        <w:t>电笛设备应符合GB/T 12303的规定，电笛喇叭口应避开水上构筑物附属设施的阻挡，宜朝向航道轴线方向。在一级预警区域首次触发预警后，应立即鸣放3次（每次 1 秒，间隔 1 秒），之后每 10秒鸣放 1 次，直至船舶驶离预警区或预警解除。</w:t>
      </w:r>
    </w:p>
    <w:p w14:paraId="6F53B9D5">
      <w:pPr>
        <w:pStyle w:val="161"/>
      </w:pPr>
      <w:r>
        <w:rPr>
          <w:rFonts w:hint="eastAsia"/>
          <w:b/>
        </w:rPr>
        <w:t>6.2.6　</w:t>
      </w:r>
      <w:r>
        <w:rPr>
          <w:rFonts w:hint="eastAsia"/>
        </w:rPr>
        <w:t>警示灯设备应符合JT/T 761的规定，宜设置于水上构筑物轮廓外边缘。在一级预警区域首次触发预警后，应立即高频频闪，每秒 2 次，持续至船舶驶离预警区或解除预警。</w:t>
      </w:r>
    </w:p>
    <w:p w14:paraId="29686C82">
      <w:pPr>
        <w:pStyle w:val="161"/>
      </w:pPr>
      <w:r>
        <w:rPr>
          <w:rFonts w:hint="eastAsia"/>
          <w:b/>
        </w:rPr>
        <w:t>6.2.7　</w:t>
      </w:r>
      <w:r>
        <w:rPr>
          <w:rFonts w:hint="eastAsia"/>
        </w:rPr>
        <w:t>采用电笛、警示灯等设备进行预警信息发布时，应符合当地管理规定。</w:t>
      </w:r>
    </w:p>
    <w:p w14:paraId="468DCC99">
      <w:pPr>
        <w:pStyle w:val="161"/>
      </w:pPr>
      <w:r>
        <w:rPr>
          <w:rFonts w:hint="eastAsia"/>
          <w:b/>
        </w:rPr>
        <w:t>6.2.8　</w:t>
      </w:r>
      <w:r>
        <w:rPr>
          <w:rFonts w:hint="eastAsia"/>
        </w:rPr>
        <w:t>预警信息发布宜综合采用 VHF、电笛、警示灯等手段协同实施，其分级响应流程可参考附录E。</w:t>
      </w:r>
    </w:p>
    <w:p w14:paraId="7C8F4A07">
      <w:pPr>
        <w:pStyle w:val="161"/>
      </w:pPr>
      <w:r>
        <w:br w:type="page"/>
      </w:r>
    </w:p>
    <w:p w14:paraId="2017DAD1">
      <w:pPr>
        <w:pStyle w:val="158"/>
      </w:pPr>
      <w:bookmarkStart w:id="46" w:name="_Toc221528694"/>
      <w:bookmarkStart w:id="47" w:name="_Toc221528765"/>
      <w:r>
        <w:rPr>
          <w:rFonts w:hint="eastAsia"/>
          <w:lang w:eastAsia="zh-CN"/>
        </w:rPr>
        <w:t>7</w:t>
      </w:r>
      <w:r>
        <w:rPr>
          <w:rFonts w:hint="eastAsia"/>
        </w:rPr>
        <w:t xml:space="preserve">  监测系统验收</w:t>
      </w:r>
      <w:bookmarkEnd w:id="46"/>
      <w:bookmarkEnd w:id="47"/>
    </w:p>
    <w:p w14:paraId="4E324989">
      <w:pPr>
        <w:pStyle w:val="159"/>
      </w:pPr>
      <w:bookmarkStart w:id="48" w:name="_Toc221528695"/>
      <w:bookmarkStart w:id="49" w:name="_Toc221528766"/>
      <w:r>
        <w:rPr>
          <w:rFonts w:hint="eastAsia"/>
        </w:rPr>
        <w:t>7.1  硬件设备验收</w:t>
      </w:r>
      <w:bookmarkEnd w:id="48"/>
      <w:bookmarkEnd w:id="49"/>
    </w:p>
    <w:p w14:paraId="7A3BDCCA">
      <w:pPr>
        <w:pStyle w:val="161"/>
      </w:pPr>
      <w:r>
        <w:rPr>
          <w:rFonts w:hint="eastAsia"/>
          <w:b/>
        </w:rPr>
        <w:t>7.1.1　</w:t>
      </w:r>
      <w:r>
        <w:rPr>
          <w:rFonts w:hint="eastAsia"/>
        </w:rPr>
        <w:t>硬件设备验收应核查设备的数量、规格型号、性能参数是否与合同文件和设计文件一致，合格证、质保卡、说明书、出厂检验报告等随附文件应齐全有效。</w:t>
      </w:r>
    </w:p>
    <w:p w14:paraId="65923149">
      <w:pPr>
        <w:pStyle w:val="161"/>
      </w:pPr>
      <w:r>
        <w:rPr>
          <w:rFonts w:hint="eastAsia"/>
          <w:b/>
        </w:rPr>
        <w:t>7.1.2　</w:t>
      </w:r>
      <w:r>
        <w:rPr>
          <w:rFonts w:hint="eastAsia"/>
        </w:rPr>
        <w:t>设备安装应位置正确、固定牢靠、端正规范；外露构件应采取必要的防腐、防护、防晒措施；信号与供电连接应按照设计或工艺要求接线到位，标识清晰。</w:t>
      </w:r>
    </w:p>
    <w:p w14:paraId="347999C2">
      <w:pPr>
        <w:pStyle w:val="161"/>
      </w:pPr>
      <w:r>
        <w:rPr>
          <w:rFonts w:hint="eastAsia"/>
          <w:b/>
        </w:rPr>
        <w:t>7.1.3　</w:t>
      </w:r>
      <w:r>
        <w:rPr>
          <w:rFonts w:hint="eastAsia"/>
        </w:rPr>
        <w:t>数据采集与管理设备应处于正常工作状态。机柜（箱）内电力线、信号线及元器件布设应平直整齐、固定可靠；插头连接稳固，出线口密封良好。机柜内应无积水、尘土及霉变，接地装置连接可靠，无锈蚀。</w:t>
      </w:r>
    </w:p>
    <w:p w14:paraId="380C71F5">
      <w:pPr>
        <w:pStyle w:val="161"/>
      </w:pPr>
      <w:r>
        <w:rPr>
          <w:rFonts w:hint="eastAsia"/>
          <w:b/>
        </w:rPr>
        <w:t>7.1.4　</w:t>
      </w:r>
      <w:r>
        <w:rPr>
          <w:rFonts w:hint="eastAsia"/>
        </w:rPr>
        <w:t>监测设备的防水、防潮、防盐雾、防震性能应符合设计要求，相关检验应符合GB/T 4208的规定。</w:t>
      </w:r>
    </w:p>
    <w:p w14:paraId="507C8C9C">
      <w:pPr>
        <w:pStyle w:val="161"/>
      </w:pPr>
      <w:r>
        <w:rPr>
          <w:rFonts w:hint="eastAsia"/>
          <w:b/>
        </w:rPr>
        <w:t>7.1.5　</w:t>
      </w:r>
      <w:r>
        <w:rPr>
          <w:rFonts w:hint="eastAsia"/>
        </w:rPr>
        <w:t>应对通信链路与供电线路进行通断测试、负载测试与稳定性测试，供电电压/电流满足设备运行需求，供电系统及防雷接地应符合JT/T 817和GB/T 15408的规定。</w:t>
      </w:r>
    </w:p>
    <w:p w14:paraId="552B16E2">
      <w:pPr>
        <w:pStyle w:val="161"/>
      </w:pPr>
      <w:r>
        <w:rPr>
          <w:rFonts w:hint="eastAsia"/>
          <w:b/>
        </w:rPr>
        <w:t>7.1.6　</w:t>
      </w:r>
      <w:r>
        <w:rPr>
          <w:rFonts w:hint="eastAsia"/>
        </w:rPr>
        <w:t>硬件设备应进行连续不少于72小时的稳定性测试。测试期间，设备应满足以下要求：</w:t>
      </w:r>
    </w:p>
    <w:p w14:paraId="7119D09D">
      <w:pPr>
        <w:pStyle w:val="167"/>
      </w:pPr>
      <w:r>
        <w:rPr>
          <w:rFonts w:hint="eastAsia"/>
        </w:rPr>
        <w:t>a)</w:t>
      </w:r>
      <w:r>
        <w:rPr>
          <w:rFonts w:hint="eastAsia"/>
        </w:rPr>
        <w:tab/>
      </w:r>
      <w:r>
        <w:rPr>
          <w:rFonts w:hint="eastAsia"/>
        </w:rPr>
        <w:t>运行无中断，功能正常；</w:t>
      </w:r>
    </w:p>
    <w:p w14:paraId="06650230">
      <w:pPr>
        <w:pStyle w:val="167"/>
      </w:pPr>
      <w:r>
        <w:rPr>
          <w:rFonts w:hint="eastAsia"/>
        </w:rPr>
        <w:t>b)</w:t>
      </w:r>
      <w:r>
        <w:rPr>
          <w:rFonts w:hint="eastAsia"/>
        </w:rPr>
        <w:tab/>
      </w:r>
      <w:r>
        <w:rPr>
          <w:rFonts w:hint="eastAsia"/>
        </w:rPr>
        <w:t>功耗波动不超过额定值的±10%；</w:t>
      </w:r>
    </w:p>
    <w:p w14:paraId="6C119552">
      <w:pPr>
        <w:pStyle w:val="167"/>
      </w:pPr>
      <w:r>
        <w:rPr>
          <w:rFonts w:hint="eastAsia"/>
        </w:rPr>
        <w:t>c)</w:t>
      </w:r>
      <w:r>
        <w:rPr>
          <w:rFonts w:hint="eastAsia"/>
        </w:rPr>
        <w:tab/>
      </w:r>
      <w:r>
        <w:rPr>
          <w:rFonts w:hint="eastAsia"/>
        </w:rPr>
        <w:t>数据输出完整率不低于95%，且关键参数无异常跳变或丢失。</w:t>
      </w:r>
    </w:p>
    <w:p w14:paraId="799A593B">
      <w:pPr>
        <w:pStyle w:val="167"/>
      </w:pPr>
      <w:r>
        <w:rPr>
          <w:rFonts w:hint="eastAsia"/>
        </w:rPr>
        <w:t>不满足上述任一要求的设备，不得用于工程部署。</w:t>
      </w:r>
    </w:p>
    <w:p w14:paraId="315E22BF">
      <w:pPr>
        <w:pStyle w:val="159"/>
      </w:pPr>
      <w:bookmarkStart w:id="50" w:name="_Toc221528767"/>
      <w:bookmarkStart w:id="51" w:name="_Toc221528696"/>
      <w:r>
        <w:rPr>
          <w:rFonts w:hint="eastAsia"/>
        </w:rPr>
        <w:t>7.2  监测功能验收</w:t>
      </w:r>
      <w:bookmarkEnd w:id="50"/>
      <w:bookmarkEnd w:id="51"/>
    </w:p>
    <w:p w14:paraId="0367CC09">
      <w:pPr>
        <w:pStyle w:val="161"/>
      </w:pPr>
      <w:r>
        <w:rPr>
          <w:rFonts w:hint="eastAsia"/>
          <w:b/>
        </w:rPr>
        <w:t>7.2.1　</w:t>
      </w:r>
      <w:r>
        <w:rPr>
          <w:rFonts w:hint="eastAsia"/>
        </w:rPr>
        <w:t>数据采集与传输软件应具备功能完整性与运行一致性，能够稳定完成监测数据的采集、解析、存储与转发。</w:t>
      </w:r>
    </w:p>
    <w:p w14:paraId="400B3628">
      <w:pPr>
        <w:pStyle w:val="161"/>
      </w:pPr>
      <w:r>
        <w:rPr>
          <w:rFonts w:hint="eastAsia"/>
          <w:b/>
        </w:rPr>
        <w:t>7.2.2　</w:t>
      </w:r>
      <w:r>
        <w:rPr>
          <w:rFonts w:hint="eastAsia"/>
        </w:rPr>
        <w:t>监测系统应具备完整的运行日志记录与状态监测功能，能够及时识别设备故障、通信异常及越界行为。</w:t>
      </w:r>
    </w:p>
    <w:p w14:paraId="092981EA">
      <w:pPr>
        <w:pStyle w:val="161"/>
      </w:pPr>
      <w:r>
        <w:rPr>
          <w:rFonts w:hint="eastAsia"/>
          <w:b/>
        </w:rPr>
        <w:t>7.2.3　</w:t>
      </w:r>
      <w:r>
        <w:rPr>
          <w:rFonts w:hint="eastAsia"/>
        </w:rPr>
        <w:t>超高监测测量误差应≤0.5m，偏航监测定位误差应≤10m，水位监测误差应≤0.03m，按 GB/T 50138进行试验测试，其它监测指标应满足设计文件要求。</w:t>
      </w:r>
    </w:p>
    <w:p w14:paraId="18699845">
      <w:pPr>
        <w:pStyle w:val="161"/>
      </w:pPr>
      <w:r>
        <w:rPr>
          <w:rFonts w:hint="eastAsia"/>
          <w:b/>
        </w:rPr>
        <w:t>7.2.4　</w:t>
      </w:r>
      <w:r>
        <w:rPr>
          <w:rFonts w:hint="eastAsia"/>
        </w:rPr>
        <w:t>超高监测频率应≥1Hz，偏航监测频率应≥0.1Hz，水位监测频率应≥0.003Hz。</w:t>
      </w:r>
    </w:p>
    <w:p w14:paraId="260353A1">
      <w:pPr>
        <w:pStyle w:val="161"/>
      </w:pPr>
      <w:r>
        <w:rPr>
          <w:rFonts w:hint="eastAsia"/>
          <w:b/>
        </w:rPr>
        <w:t>7.2.5　</w:t>
      </w:r>
      <w:r>
        <w:rPr>
          <w:rFonts w:hint="eastAsia"/>
        </w:rPr>
        <w:t>数据处理与管理软件应具备数据接收、处理、质量校验、存储及转发等功能，数据处理算法、数据一致性与处理效率应符合设计文件要求。</w:t>
      </w:r>
    </w:p>
    <w:p w14:paraId="68AC02AE">
      <w:pPr>
        <w:pStyle w:val="161"/>
      </w:pPr>
      <w:r>
        <w:rPr>
          <w:rFonts w:hint="eastAsia"/>
          <w:b/>
        </w:rPr>
        <w:t>7.2.6　</w:t>
      </w:r>
      <w:r>
        <w:rPr>
          <w:rFonts w:hint="eastAsia"/>
        </w:rPr>
        <w:t>用户界面应功能完整、模块清晰，能够准确展示静态基础数据、实时监测数据、历史统计数据等信息。</w:t>
      </w:r>
    </w:p>
    <w:p w14:paraId="29EFBA15">
      <w:pPr>
        <w:pStyle w:val="161"/>
      </w:pPr>
      <w:r>
        <w:rPr>
          <w:rFonts w:hint="eastAsia"/>
          <w:b/>
        </w:rPr>
        <w:t>7.2.7　</w:t>
      </w:r>
      <w:r>
        <w:rPr>
          <w:rFonts w:hint="eastAsia"/>
        </w:rPr>
        <w:t>系统应通过网络与信息安全检查，鉴权、访问控制、数据加密、日志审计、接口调用等应满足设计文件要求，系统信息安全应符合GB/T 22239的规定。</w:t>
      </w:r>
    </w:p>
    <w:p w14:paraId="6CC28E8B">
      <w:pPr>
        <w:pStyle w:val="161"/>
      </w:pPr>
      <w:r>
        <w:rPr>
          <w:rFonts w:hint="eastAsia"/>
          <w:b/>
        </w:rPr>
        <w:t>7.2.8　</w:t>
      </w:r>
      <w:r>
        <w:rPr>
          <w:rFonts w:hint="eastAsia"/>
        </w:rPr>
        <w:t>系统应进行数据完整性测试，数据完整率、连续率、有效率应满足设计要求。数据完好率应不低于95%，事务失败率应小于0.1%。</w:t>
      </w:r>
    </w:p>
    <w:p w14:paraId="7EE35F4E">
      <w:pPr>
        <w:pStyle w:val="161"/>
      </w:pPr>
      <w:r>
        <w:rPr>
          <w:rFonts w:hint="eastAsia"/>
          <w:b/>
        </w:rPr>
        <w:t>7.2.9　</w:t>
      </w:r>
      <w:r>
        <w:rPr>
          <w:rFonts w:hint="eastAsia"/>
        </w:rPr>
        <w:t>宜对监测数据进行漂移分析，验证长期监测的稳定性和一致性。</w:t>
      </w:r>
    </w:p>
    <w:p w14:paraId="73CC3A6E">
      <w:pPr>
        <w:pStyle w:val="159"/>
      </w:pPr>
      <w:bookmarkStart w:id="52" w:name="_Toc221528768"/>
      <w:bookmarkStart w:id="53" w:name="_Toc221528697"/>
      <w:r>
        <w:rPr>
          <w:rFonts w:hint="eastAsia"/>
        </w:rPr>
        <w:t>7.3  预警功能验收</w:t>
      </w:r>
      <w:bookmarkEnd w:id="52"/>
      <w:bookmarkEnd w:id="53"/>
    </w:p>
    <w:p w14:paraId="7CEA7AFA">
      <w:pPr>
        <w:pStyle w:val="161"/>
      </w:pPr>
      <w:r>
        <w:rPr>
          <w:rFonts w:hint="eastAsia"/>
          <w:b/>
        </w:rPr>
        <w:t>7.3.1　</w:t>
      </w:r>
      <w:r>
        <w:rPr>
          <w:rFonts w:hint="eastAsia"/>
        </w:rPr>
        <w:t>预警系统的数据采集与传输软件应具备功能完整性和运行一致性，能够稳定实现预警相关数据的采集、编码、存储、传输与转发。数据链路应连续可靠，以太网传输丢包率应小于0.1%，视频专网传输时延应不大于400ms，并参考GB/T 28181，YD/T 1381进行验收。</w:t>
      </w:r>
    </w:p>
    <w:p w14:paraId="4A7CD41D">
      <w:pPr>
        <w:pStyle w:val="161"/>
      </w:pPr>
      <w:r>
        <w:rPr>
          <w:rFonts w:hint="eastAsia"/>
          <w:b/>
        </w:rPr>
        <w:t>7.3.2　</w:t>
      </w:r>
      <w:r>
        <w:rPr>
          <w:rFonts w:hint="eastAsia"/>
        </w:rPr>
        <w:t>预警系统验收时应通过试验船舶触发超高、偏航预警各不少于 50 次，预警误报率应&lt;10%，漏报率应&lt;15%，预警系统从事件发送到发布预警信息的总响应时间不应超过5s。</w:t>
      </w:r>
    </w:p>
    <w:p w14:paraId="31E229CA">
      <w:pPr>
        <w:pStyle w:val="161"/>
      </w:pPr>
      <w:r>
        <w:rPr>
          <w:rFonts w:hint="eastAsia"/>
          <w:b/>
        </w:rPr>
        <w:t>7.3.3　</w:t>
      </w:r>
      <w:r>
        <w:rPr>
          <w:rFonts w:hint="eastAsia"/>
        </w:rPr>
        <w:t>预警系统的数据处理与管理软件应按设计要求正常接收、解析、处理并存储预警所需的监测数据，预警判别算法、数据处理流程及处理效率应符合设计文件及相关测试标准要求，处理结果应可追溯。</w:t>
      </w:r>
    </w:p>
    <w:p w14:paraId="4C69E846">
      <w:pPr>
        <w:pStyle w:val="161"/>
      </w:pPr>
      <w:r>
        <w:rPr>
          <w:rFonts w:hint="eastAsia"/>
          <w:b/>
        </w:rPr>
        <w:t>7.3.4　</w:t>
      </w:r>
      <w:r>
        <w:rPr>
          <w:rFonts w:hint="eastAsia"/>
        </w:rPr>
        <w:t>预警系统的用户界面软件应功能完整、交互逻辑清晰，能够准确展示基础数据、实时监测数据、预警等级、事件记录及历史统计数据。界面显示内容应真实、准确、齐全，与后台数据库保持一致。</w:t>
      </w:r>
    </w:p>
    <w:p w14:paraId="1600A09F">
      <w:pPr>
        <w:pStyle w:val="161"/>
      </w:pPr>
      <w:r>
        <w:rPr>
          <w:rFonts w:hint="eastAsia"/>
          <w:b/>
        </w:rPr>
        <w:t>7.3.5　</w:t>
      </w:r>
      <w:r>
        <w:rPr>
          <w:rFonts w:hint="eastAsia"/>
        </w:rPr>
        <w:t>预警系统的软件响应速度、数据刷新率、并发处理能力等性能指标应满足设计文件要求。关键预警流程应在规定的时间内完成，应满足预警触发及时性和可靠性要求。</w:t>
      </w:r>
    </w:p>
    <w:p w14:paraId="311EA969">
      <w:pPr>
        <w:pStyle w:val="161"/>
      </w:pPr>
      <w:r>
        <w:rPr>
          <w:rFonts w:hint="eastAsia"/>
          <w:b/>
        </w:rPr>
        <w:t>7.3.6　</w:t>
      </w:r>
      <w:r>
        <w:rPr>
          <w:rFonts w:hint="eastAsia"/>
        </w:rPr>
        <w:t>预警系统的软件安全性应符合设计文件及网络与信息安全标准GB/T 22239的规定。系统应具备身份鉴别、权限控制、日志审计、数据加密、防篡改、防攻击等保障措施，应满足预警数据及系统运行的安全性和稳定性。</w:t>
      </w:r>
    </w:p>
    <w:p w14:paraId="0055FD16">
      <w:pPr>
        <w:pStyle w:val="161"/>
      </w:pPr>
      <w:r>
        <w:rPr>
          <w:rFonts w:hint="eastAsia"/>
          <w:b/>
        </w:rPr>
        <w:t>7.3.7　</w:t>
      </w:r>
      <w:r>
        <w:rPr>
          <w:rFonts w:hint="eastAsia"/>
        </w:rPr>
        <w:t>系统调试验收应对预警功能进行全链路测试，包括报警联动、事件触发、预警规则执行、视频回传、语音/灯光/信息发布设备联动、处置策略执行等内容，应符合以下规定：</w:t>
      </w:r>
    </w:p>
    <w:p w14:paraId="7DDAE398">
      <w:pPr>
        <w:pStyle w:val="167"/>
      </w:pPr>
      <w:r>
        <w:rPr>
          <w:rFonts w:hint="eastAsia"/>
        </w:rPr>
        <w:t>a)</w:t>
      </w:r>
      <w:r>
        <w:rPr>
          <w:rFonts w:hint="eastAsia"/>
        </w:rPr>
        <w:tab/>
      </w:r>
      <w:r>
        <w:rPr>
          <w:rFonts w:hint="eastAsia"/>
        </w:rPr>
        <w:t>语音播报单次长度&lt; 30s，应按YD/T 2779进行测试；</w:t>
      </w:r>
    </w:p>
    <w:p w14:paraId="515A3DAC">
      <w:pPr>
        <w:pStyle w:val="167"/>
      </w:pPr>
      <w:r>
        <w:rPr>
          <w:rFonts w:hint="eastAsia"/>
        </w:rPr>
        <w:t>b)</w:t>
      </w:r>
      <w:r>
        <w:rPr>
          <w:rFonts w:hint="eastAsia"/>
        </w:rPr>
        <w:tab/>
      </w:r>
      <w:r>
        <w:rPr>
          <w:rFonts w:hint="eastAsia"/>
        </w:rPr>
        <w:t>预警声音声压级≥115dB，应按GB/T 12303进行测试；</w:t>
      </w:r>
    </w:p>
    <w:p w14:paraId="0DFCD6AA">
      <w:pPr>
        <w:pStyle w:val="167"/>
      </w:pPr>
      <w:r>
        <w:rPr>
          <w:rFonts w:hint="eastAsia"/>
        </w:rPr>
        <w:t>c)</w:t>
      </w:r>
      <w:r>
        <w:rPr>
          <w:rFonts w:hint="eastAsia"/>
        </w:rPr>
        <w:tab/>
      </w:r>
      <w:r>
        <w:rPr>
          <w:rFonts w:hint="eastAsia"/>
        </w:rPr>
        <w:t>预警灯光/文字颜色应按等级（蓝、黄、红）显示，应按JT/T 761 和GB/T 23828 进行测试。</w:t>
      </w:r>
    </w:p>
    <w:p w14:paraId="37C3EFCE">
      <w:pPr>
        <w:pStyle w:val="161"/>
      </w:pPr>
      <w:r>
        <w:rPr>
          <w:rFonts w:hint="eastAsia"/>
          <w:b/>
        </w:rPr>
        <w:t>7.3.8　</w:t>
      </w:r>
      <w:r>
        <w:rPr>
          <w:rFonts w:hint="eastAsia"/>
        </w:rPr>
        <w:t>系统服务器日常内存平均使用率应&lt; 70%，且支持同时在线用户并发数&gt;20，并模拟多用户典型操作进行压力测试验证。</w:t>
      </w:r>
      <w:r>
        <w:br w:type="page"/>
      </w:r>
    </w:p>
    <w:p w14:paraId="72D38694">
      <w:pPr>
        <w:pStyle w:val="158"/>
      </w:pPr>
      <w:bookmarkStart w:id="54" w:name="_Toc221528769"/>
      <w:bookmarkStart w:id="55" w:name="_Toc221528698"/>
      <w:r>
        <w:rPr>
          <w:rFonts w:hint="eastAsia"/>
          <w:lang w:eastAsia="zh-CN"/>
        </w:rPr>
        <w:t xml:space="preserve">8  </w:t>
      </w:r>
      <w:r>
        <w:rPr>
          <w:rFonts w:hint="eastAsia"/>
        </w:rPr>
        <w:t>监测应用</w:t>
      </w:r>
      <w:bookmarkEnd w:id="54"/>
      <w:bookmarkEnd w:id="55"/>
    </w:p>
    <w:p w14:paraId="37DEC651">
      <w:pPr>
        <w:pStyle w:val="159"/>
      </w:pPr>
      <w:bookmarkStart w:id="56" w:name="_Toc221528699"/>
      <w:bookmarkStart w:id="57" w:name="_Toc221528770"/>
      <w:r>
        <w:rPr>
          <w:rFonts w:hint="eastAsia"/>
        </w:rPr>
        <w:t>8.1  一般规定</w:t>
      </w:r>
      <w:bookmarkEnd w:id="56"/>
      <w:bookmarkEnd w:id="57"/>
    </w:p>
    <w:p w14:paraId="786AD04A">
      <w:pPr>
        <w:pStyle w:val="161"/>
      </w:pPr>
      <w:r>
        <w:rPr>
          <w:rFonts w:hint="eastAsia"/>
          <w:b/>
        </w:rPr>
        <w:t>8.1.1　</w:t>
      </w:r>
      <w:r>
        <w:rPr>
          <w:rFonts w:hint="eastAsia"/>
        </w:rPr>
        <w:t>监测应用应包括但不限于：监测数据分析、超限阈值调整与预警、撞后结构状态评估、特殊事件应急措施。</w:t>
      </w:r>
    </w:p>
    <w:p w14:paraId="34C58FEF">
      <w:pPr>
        <w:pStyle w:val="161"/>
      </w:pPr>
      <w:r>
        <w:rPr>
          <w:rFonts w:hint="eastAsia"/>
          <w:b/>
        </w:rPr>
        <w:t>8.1.2　</w:t>
      </w:r>
      <w:r>
        <w:rPr>
          <w:rFonts w:hint="eastAsia"/>
        </w:rPr>
        <w:t>监测数据分析应结合水上构筑物日常管养信息，给出防船撞评估结论和管养建议。</w:t>
      </w:r>
    </w:p>
    <w:p w14:paraId="1A2F90C7">
      <w:pPr>
        <w:pStyle w:val="161"/>
      </w:pPr>
      <w:r>
        <w:rPr>
          <w:rFonts w:hint="eastAsia"/>
          <w:b/>
        </w:rPr>
        <w:t>8.1.3　</w:t>
      </w:r>
      <w:r>
        <w:rPr>
          <w:rFonts w:hint="eastAsia"/>
        </w:rPr>
        <w:t>超限阈值宜根据监测数据分析结果进行动态调整。</w:t>
      </w:r>
    </w:p>
    <w:p w14:paraId="2DD1EAAD">
      <w:pPr>
        <w:pStyle w:val="161"/>
      </w:pPr>
      <w:r>
        <w:rPr>
          <w:rFonts w:hint="eastAsia"/>
          <w:b/>
        </w:rPr>
        <w:t>8.1.4　</w:t>
      </w:r>
      <w:r>
        <w:rPr>
          <w:rFonts w:hint="eastAsia"/>
        </w:rPr>
        <w:t>对于设置有结构健康监测系统的水上构筑物，撞后结构状态评估应结合相关监测数据开展。</w:t>
      </w:r>
    </w:p>
    <w:p w14:paraId="6924B427">
      <w:pPr>
        <w:pStyle w:val="159"/>
      </w:pPr>
      <w:bookmarkStart w:id="58" w:name="_Toc221528700"/>
      <w:bookmarkStart w:id="59" w:name="_Toc221528771"/>
      <w:r>
        <w:rPr>
          <w:rFonts w:hint="eastAsia"/>
        </w:rPr>
        <w:t>8.2  监测数据分析</w:t>
      </w:r>
      <w:bookmarkEnd w:id="58"/>
      <w:bookmarkEnd w:id="59"/>
    </w:p>
    <w:p w14:paraId="40203D0C">
      <w:pPr>
        <w:pStyle w:val="161"/>
      </w:pPr>
      <w:r>
        <w:rPr>
          <w:rFonts w:hint="eastAsia"/>
          <w:b/>
        </w:rPr>
        <w:t>8.2.1　</w:t>
      </w:r>
      <w:r>
        <w:rPr>
          <w:rFonts w:hint="eastAsia"/>
        </w:rPr>
        <w:t>监测数据分析方法可采用统计分析、相关性分析、趋势性分析、比对性分析、机器学习，也可采用其他可靠方法。</w:t>
      </w:r>
    </w:p>
    <w:p w14:paraId="2FD2B905">
      <w:pPr>
        <w:pStyle w:val="161"/>
      </w:pPr>
      <w:r>
        <w:rPr>
          <w:rFonts w:hint="eastAsia"/>
          <w:b/>
        </w:rPr>
        <w:t>8.2.2　</w:t>
      </w:r>
      <w:r>
        <w:rPr>
          <w:rFonts w:hint="eastAsia"/>
        </w:rPr>
        <w:t>应基于潮汐水位的监测数据，统计分析预警区域的水位特征，建立水位预测模型，并应包含以下参数：</w:t>
      </w:r>
    </w:p>
    <w:p w14:paraId="4210CF7B">
      <w:pPr>
        <w:pStyle w:val="167"/>
      </w:pPr>
      <w:r>
        <w:rPr>
          <w:rFonts w:hint="eastAsia"/>
        </w:rPr>
        <w:t>a)</w:t>
      </w:r>
      <w:r>
        <w:rPr>
          <w:rFonts w:hint="eastAsia"/>
        </w:rPr>
        <w:tab/>
      </w:r>
      <w:r>
        <w:rPr>
          <w:rFonts w:hint="eastAsia"/>
        </w:rPr>
        <w:t>通航高水位；</w:t>
      </w:r>
    </w:p>
    <w:p w14:paraId="19F47348">
      <w:pPr>
        <w:pStyle w:val="167"/>
      </w:pPr>
      <w:r>
        <w:rPr>
          <w:rFonts w:hint="eastAsia"/>
        </w:rPr>
        <w:t>b)</w:t>
      </w:r>
      <w:r>
        <w:rPr>
          <w:rFonts w:hint="eastAsia"/>
        </w:rPr>
        <w:tab/>
      </w:r>
      <w:r>
        <w:rPr>
          <w:rFonts w:hint="eastAsia"/>
        </w:rPr>
        <w:t>通航低水位；</w:t>
      </w:r>
    </w:p>
    <w:p w14:paraId="51F76394">
      <w:pPr>
        <w:pStyle w:val="167"/>
      </w:pPr>
      <w:r>
        <w:rPr>
          <w:rFonts w:hint="eastAsia"/>
        </w:rPr>
        <w:t>c)</w:t>
      </w:r>
      <w:r>
        <w:rPr>
          <w:rFonts w:hint="eastAsia"/>
        </w:rPr>
        <w:tab/>
      </w:r>
      <w:r>
        <w:rPr>
          <w:rFonts w:hint="eastAsia"/>
        </w:rPr>
        <w:t>水流速。</w:t>
      </w:r>
    </w:p>
    <w:p w14:paraId="1AB3F71D">
      <w:pPr>
        <w:pStyle w:val="161"/>
      </w:pPr>
      <w:r>
        <w:rPr>
          <w:rFonts w:hint="eastAsia"/>
          <w:b/>
        </w:rPr>
        <w:t>8.2.3　</w:t>
      </w:r>
      <w:r>
        <w:rPr>
          <w:rFonts w:hint="eastAsia"/>
        </w:rPr>
        <w:t>应基于船舶监测数据，建立不同种类的代表性船舶模型，并应给出关键参数：</w:t>
      </w:r>
    </w:p>
    <w:p w14:paraId="051BDEEB">
      <w:pPr>
        <w:pStyle w:val="167"/>
      </w:pPr>
      <w:r>
        <w:rPr>
          <w:rFonts w:hint="eastAsia"/>
        </w:rPr>
        <w:t>a)</w:t>
      </w:r>
      <w:r>
        <w:rPr>
          <w:rFonts w:hint="eastAsia"/>
        </w:rPr>
        <w:tab/>
      </w:r>
      <w:r>
        <w:rPr>
          <w:rFonts w:hint="eastAsia"/>
        </w:rPr>
        <w:t>船舶吨位；</w:t>
      </w:r>
    </w:p>
    <w:p w14:paraId="19438682">
      <w:pPr>
        <w:pStyle w:val="167"/>
      </w:pPr>
      <w:r>
        <w:rPr>
          <w:rFonts w:hint="eastAsia"/>
        </w:rPr>
        <w:t>b)</w:t>
      </w:r>
      <w:r>
        <w:rPr>
          <w:rFonts w:hint="eastAsia"/>
        </w:rPr>
        <w:tab/>
      </w:r>
      <w:r>
        <w:rPr>
          <w:rFonts w:hint="eastAsia"/>
        </w:rPr>
        <w:t>船首形状；</w:t>
      </w:r>
    </w:p>
    <w:p w14:paraId="4E8BF85A">
      <w:pPr>
        <w:pStyle w:val="167"/>
      </w:pPr>
      <w:r>
        <w:rPr>
          <w:rFonts w:hint="eastAsia"/>
        </w:rPr>
        <w:t>c)</w:t>
      </w:r>
      <w:r>
        <w:rPr>
          <w:rFonts w:hint="eastAsia"/>
        </w:rPr>
        <w:tab/>
      </w:r>
      <w:r>
        <w:rPr>
          <w:rFonts w:hint="eastAsia"/>
        </w:rPr>
        <w:t>船舶材质；</w:t>
      </w:r>
    </w:p>
    <w:p w14:paraId="6AC36757">
      <w:pPr>
        <w:pStyle w:val="167"/>
      </w:pPr>
      <w:r>
        <w:rPr>
          <w:rFonts w:hint="eastAsia"/>
        </w:rPr>
        <w:t>d)</w:t>
      </w:r>
      <w:r>
        <w:rPr>
          <w:rFonts w:hint="eastAsia"/>
        </w:rPr>
        <w:tab/>
      </w:r>
      <w:r>
        <w:rPr>
          <w:rFonts w:hint="eastAsia"/>
        </w:rPr>
        <w:t>载重；</w:t>
      </w:r>
    </w:p>
    <w:p w14:paraId="65605BDB">
      <w:pPr>
        <w:pStyle w:val="167"/>
      </w:pPr>
      <w:r>
        <w:rPr>
          <w:rFonts w:hint="eastAsia"/>
        </w:rPr>
        <w:t>e)</w:t>
      </w:r>
      <w:r>
        <w:rPr>
          <w:rFonts w:hint="eastAsia"/>
        </w:rPr>
        <w:tab/>
      </w:r>
      <w:r>
        <w:rPr>
          <w:rFonts w:hint="eastAsia"/>
        </w:rPr>
        <w:t>船速。</w:t>
      </w:r>
    </w:p>
    <w:p w14:paraId="3CB0C5F0">
      <w:pPr>
        <w:pStyle w:val="161"/>
      </w:pPr>
      <w:r>
        <w:rPr>
          <w:rFonts w:hint="eastAsia"/>
          <w:b/>
        </w:rPr>
        <w:t>8.2.4　</w:t>
      </w:r>
      <w:r>
        <w:rPr>
          <w:rFonts w:hint="eastAsia"/>
        </w:rPr>
        <w:t>监测数据分析应定期形成分析报告，宜采用季报、年报和特殊事件专项报告。</w:t>
      </w:r>
    </w:p>
    <w:p w14:paraId="64A658CF">
      <w:pPr>
        <w:pStyle w:val="159"/>
      </w:pPr>
      <w:bookmarkStart w:id="60" w:name="_Toc221528772"/>
      <w:bookmarkStart w:id="61" w:name="_Toc221528701"/>
      <w:r>
        <w:rPr>
          <w:rFonts w:hint="eastAsia"/>
        </w:rPr>
        <w:t>8.3  撞后结构状态评估</w:t>
      </w:r>
      <w:bookmarkEnd w:id="60"/>
      <w:bookmarkEnd w:id="61"/>
    </w:p>
    <w:p w14:paraId="5CA9E81F">
      <w:pPr>
        <w:pStyle w:val="161"/>
      </w:pPr>
      <w:r>
        <w:rPr>
          <w:rFonts w:hint="eastAsia"/>
          <w:b/>
        </w:rPr>
        <w:t>8.3.1　</w:t>
      </w:r>
      <w:r>
        <w:rPr>
          <w:rFonts w:hint="eastAsia"/>
        </w:rPr>
        <w:t>水上构筑物在遭受船舶撞击后，应进行特殊事件数据分析辅助应急管理措施决策，并评估结构损伤程度，宜组织专家研判。</w:t>
      </w:r>
    </w:p>
    <w:p w14:paraId="7D3ACED1">
      <w:pPr>
        <w:pStyle w:val="161"/>
      </w:pPr>
      <w:r>
        <w:rPr>
          <w:rFonts w:hint="eastAsia"/>
          <w:b/>
        </w:rPr>
        <w:t>8.3.2　</w:t>
      </w:r>
      <w:r>
        <w:rPr>
          <w:rFonts w:hint="eastAsia"/>
        </w:rPr>
        <w:t>撞后评估应基于防船撞监测系统记录的全过程数据，结合构筑物结构模型，对撞击情形进行分析，为应急决策提供依据。</w:t>
      </w:r>
    </w:p>
    <w:p w14:paraId="541D14CC">
      <w:pPr>
        <w:pStyle w:val="161"/>
        <w:rPr>
          <w:b/>
        </w:rPr>
      </w:pPr>
      <w:r>
        <w:rPr>
          <w:rFonts w:hint="eastAsia"/>
          <w:b/>
        </w:rPr>
        <w:t>8.3.3　</w:t>
      </w:r>
      <w:r>
        <w:rPr>
          <w:rFonts w:hint="eastAsia"/>
        </w:rPr>
        <w:t>用于撞后评估分析的代表船舶应是按照</w:t>
      </w:r>
      <w:r>
        <w:rPr>
          <w:rFonts w:hint="eastAsia"/>
          <w:bCs/>
        </w:rPr>
        <w:t>8.2.3条建立的模型</w:t>
      </w:r>
      <w:r>
        <w:rPr>
          <w:rFonts w:hint="eastAsia"/>
          <w:b/>
        </w:rPr>
        <w:t>。</w:t>
      </w:r>
    </w:p>
    <w:p w14:paraId="7AB3AD19">
      <w:pPr>
        <w:pStyle w:val="161"/>
      </w:pPr>
      <w:r>
        <w:rPr>
          <w:rFonts w:hint="eastAsia"/>
          <w:b/>
        </w:rPr>
        <w:t>8.3.4　</w:t>
      </w:r>
      <w:r>
        <w:rPr>
          <w:rFonts w:hint="eastAsia"/>
        </w:rPr>
        <w:t>水上构筑物发生船舶撞击后，应提供分析报告，报告内容宜包括船舶撞击全过程的数据分析结果。</w:t>
      </w:r>
    </w:p>
    <w:p w14:paraId="5A0493DD">
      <w:pPr>
        <w:pStyle w:val="161"/>
      </w:pPr>
      <w:r>
        <w:rPr>
          <w:rFonts w:hint="eastAsia"/>
          <w:b/>
        </w:rPr>
        <w:t>8.3.5　</w:t>
      </w:r>
      <w:r>
        <w:rPr>
          <w:rFonts w:hint="eastAsia"/>
        </w:rPr>
        <w:t>撞后评估可采用快速评估和撞后有限元评估：</w:t>
      </w:r>
    </w:p>
    <w:p w14:paraId="7CA961D1">
      <w:pPr>
        <w:pStyle w:val="167"/>
      </w:pPr>
      <w:r>
        <w:rPr>
          <w:rFonts w:hint="eastAsia"/>
        </w:rPr>
        <w:t>a)</w:t>
      </w:r>
      <w:r>
        <w:rPr>
          <w:rFonts w:hint="eastAsia"/>
        </w:rPr>
        <w:tab/>
      </w:r>
      <w:r>
        <w:rPr>
          <w:rFonts w:hint="eastAsia"/>
        </w:rPr>
        <w:t>快速评估应在船舶碰撞后，立即基于监测数据给出船舶对水上构筑物的撞击力以及结构的损伤程度，评估结果可作为启动应急响应措施的直接依据；</w:t>
      </w:r>
    </w:p>
    <w:p w14:paraId="091A9BA5">
      <w:pPr>
        <w:pStyle w:val="167"/>
      </w:pPr>
      <w:r>
        <w:rPr>
          <w:rFonts w:hint="eastAsia"/>
        </w:rPr>
        <w:t>b)</w:t>
      </w:r>
      <w:r>
        <w:rPr>
          <w:rFonts w:hint="eastAsia"/>
        </w:rPr>
        <w:tab/>
      </w:r>
      <w:r>
        <w:rPr>
          <w:rFonts w:hint="eastAsia"/>
        </w:rPr>
        <w:t>撞后有限元评估应由专门的工程师进行有限元的建模计算，通过有限元计算得出水上构筑物的毁伤情况。</w:t>
      </w:r>
    </w:p>
    <w:p w14:paraId="5CD1C136">
      <w:pPr>
        <w:pStyle w:val="161"/>
      </w:pPr>
      <w:r>
        <w:rPr>
          <w:rFonts w:hint="eastAsia"/>
          <w:b/>
        </w:rPr>
        <w:t>8.3.6　</w:t>
      </w:r>
      <w:r>
        <w:rPr>
          <w:rFonts w:hint="eastAsia"/>
        </w:rPr>
        <w:t>水上构筑物宜根据船舶撞击后的结构状态划分为无损、轻微损伤、中度损伤和倒塌四个等级。其结构特征可按下列情形进行描述：</w:t>
      </w:r>
    </w:p>
    <w:p w14:paraId="75EE1E43">
      <w:pPr>
        <w:pStyle w:val="167"/>
      </w:pPr>
      <w:r>
        <w:rPr>
          <w:rFonts w:hint="eastAsia"/>
        </w:rPr>
        <w:t>a)</w:t>
      </w:r>
      <w:r>
        <w:rPr>
          <w:rFonts w:hint="eastAsia"/>
        </w:rPr>
        <w:tab/>
      </w:r>
      <w:r>
        <w:rPr>
          <w:rFonts w:hint="eastAsia"/>
        </w:rPr>
        <w:t>无损：构筑物在撞击后未出现可观测损伤，主要结构和功能保持正常，附属构件、表面构件未发生变形、开裂或局部破坏；</w:t>
      </w:r>
    </w:p>
    <w:p w14:paraId="4B0BF4E3">
      <w:pPr>
        <w:pStyle w:val="167"/>
      </w:pPr>
      <w:r>
        <w:rPr>
          <w:rFonts w:hint="eastAsia"/>
        </w:rPr>
        <w:t>b)</w:t>
      </w:r>
      <w:r>
        <w:rPr>
          <w:rFonts w:hint="eastAsia"/>
        </w:rPr>
        <w:tab/>
      </w:r>
      <w:r>
        <w:rPr>
          <w:rFonts w:hint="eastAsia"/>
        </w:rPr>
        <w:t>轻微损伤：构筑物局部构件出现轻微变形、裂缝或表面损伤，但不影响主体结构的承载能力与正常功能，可通过日常养护或小规模维修予以恢复；</w:t>
      </w:r>
    </w:p>
    <w:p w14:paraId="24BE8EBE">
      <w:pPr>
        <w:pStyle w:val="167"/>
      </w:pPr>
      <w:r>
        <w:rPr>
          <w:rFonts w:hint="eastAsia"/>
        </w:rPr>
        <w:t>c)</w:t>
      </w:r>
      <w:r>
        <w:rPr>
          <w:rFonts w:hint="eastAsia"/>
        </w:rPr>
        <w:tab/>
      </w:r>
      <w:r>
        <w:rPr>
          <w:rFonts w:hint="eastAsia"/>
        </w:rPr>
        <w:t>中度损伤：构筑物的主要受力构件出现显著变形、开裂或局部破坏，承载能力与稳定性有所降低，需采取加固措施或中等规模维修，方可恢复正常功能；</w:t>
      </w:r>
    </w:p>
    <w:p w14:paraId="3D76E68A">
      <w:pPr>
        <w:pStyle w:val="167"/>
      </w:pPr>
      <w:r>
        <w:rPr>
          <w:rFonts w:hint="eastAsia"/>
        </w:rPr>
        <w:t>d)</w:t>
      </w:r>
      <w:r>
        <w:rPr>
          <w:rFonts w:hint="eastAsia"/>
        </w:rPr>
        <w:tab/>
      </w:r>
      <w:r>
        <w:rPr>
          <w:rFonts w:hint="eastAsia"/>
        </w:rPr>
        <w:t>重度损伤：构筑物出现部分或整体失稳、断裂或倒塌，主体结构功能丧失，需进行大规模修复或重建。</w:t>
      </w:r>
    </w:p>
    <w:p w14:paraId="15771BF8">
      <w:pPr>
        <w:pStyle w:val="159"/>
      </w:pPr>
      <w:bookmarkStart w:id="62" w:name="_Toc221528702"/>
      <w:bookmarkStart w:id="63" w:name="_Toc221528773"/>
      <w:r>
        <w:rPr>
          <w:rFonts w:hint="eastAsia"/>
        </w:rPr>
        <w:t>8.4  撞后应急措施</w:t>
      </w:r>
      <w:bookmarkEnd w:id="62"/>
      <w:bookmarkEnd w:id="63"/>
    </w:p>
    <w:p w14:paraId="1578B8C9">
      <w:pPr>
        <w:pStyle w:val="161"/>
      </w:pPr>
      <w:r>
        <w:rPr>
          <w:rFonts w:hint="eastAsia"/>
          <w:b/>
        </w:rPr>
        <w:t>8.4.1　</w:t>
      </w:r>
      <w:r>
        <w:rPr>
          <w:rFonts w:hint="eastAsia"/>
        </w:rPr>
        <w:t>水上构筑物应根据撞后评估的结果制定分级应急管理措施，并符合以下规定：</w:t>
      </w:r>
    </w:p>
    <w:p w14:paraId="5355B9A1">
      <w:pPr>
        <w:pStyle w:val="167"/>
      </w:pPr>
      <w:r>
        <w:rPr>
          <w:rFonts w:hint="eastAsia"/>
        </w:rPr>
        <w:t>a)</w:t>
      </w:r>
      <w:r>
        <w:rPr>
          <w:rFonts w:hint="eastAsia"/>
        </w:rPr>
        <w:tab/>
      </w:r>
      <w:r>
        <w:rPr>
          <w:rFonts w:hint="eastAsia"/>
        </w:rPr>
        <w:t>无损，可维持正常使用，同时应对关键构件和监测数据进行复核，留存撞后评估记录，并纳入常规巡查计划。</w:t>
      </w:r>
    </w:p>
    <w:p w14:paraId="1ABF41B0">
      <w:pPr>
        <w:pStyle w:val="167"/>
      </w:pPr>
      <w:r>
        <w:rPr>
          <w:rFonts w:hint="eastAsia"/>
        </w:rPr>
        <w:t>b)</w:t>
      </w:r>
      <w:r>
        <w:rPr>
          <w:rFonts w:hint="eastAsia"/>
        </w:rPr>
        <w:tab/>
      </w:r>
      <w:r>
        <w:rPr>
          <w:rFonts w:hint="eastAsia"/>
        </w:rPr>
        <w:t>轻微损伤，应采取限制使用或通行控制措施，加强对受撞构件的专项检查与监测，必要时开展复测，在明确结构安全状态后再行恢复或调整决策。</w:t>
      </w:r>
    </w:p>
    <w:p w14:paraId="3647BB81">
      <w:pPr>
        <w:pStyle w:val="167"/>
      </w:pPr>
      <w:r>
        <w:rPr>
          <w:rFonts w:hint="eastAsia"/>
        </w:rPr>
        <w:t>c)</w:t>
      </w:r>
      <w:r>
        <w:rPr>
          <w:rFonts w:hint="eastAsia"/>
        </w:rPr>
        <w:tab/>
      </w:r>
      <w:r>
        <w:rPr>
          <w:rFonts w:hint="eastAsia"/>
        </w:rPr>
        <w:t>中度损伤，应立即实施临时管控措施，包括限制通行、设置警示标志或调整通航条件，组织专业技术人员开展详细检测与结构安全评估，制定加固、修复或应急处置方案，在完成处置和结构复核评估后恢复使用。</w:t>
      </w:r>
    </w:p>
    <w:p w14:paraId="78F11109">
      <w:pPr>
        <w:pStyle w:val="167"/>
      </w:pPr>
      <w:r>
        <w:rPr>
          <w:rFonts w:hint="eastAsia"/>
        </w:rPr>
        <w:t>d)</w:t>
      </w:r>
      <w:r>
        <w:rPr>
          <w:rFonts w:hint="eastAsia"/>
        </w:rPr>
        <w:tab/>
      </w:r>
      <w:r>
        <w:rPr>
          <w:rFonts w:hint="eastAsia"/>
        </w:rPr>
        <w:t>重度损伤，应立即封闭结构并禁止使用，启动应急预案。实施现场隔离和风险防控措施，同时开展事故调查、残余风险评估及拆除重建方案论证。</w:t>
      </w:r>
    </w:p>
    <w:p w14:paraId="532789EB">
      <w:pPr>
        <w:pStyle w:val="161"/>
      </w:pPr>
      <w:r>
        <w:rPr>
          <w:rFonts w:hint="eastAsia"/>
          <w:b/>
        </w:rPr>
        <w:t>8.4.2　</w:t>
      </w:r>
      <w:r>
        <w:rPr>
          <w:rFonts w:hint="eastAsia"/>
        </w:rPr>
        <w:t>应急管理体系应明确责任主体和系统关系，建立由构筑物管理单位牵头，交通运输、海事、应急管理等相关部门协同参与的应急管理体系架构。应明确撞后评估、应急响应、交通与通航管控、信息发布及恢复决策等环节的职责分工。</w:t>
      </w:r>
    </w:p>
    <w:p w14:paraId="2EE2DBC2">
      <w:pPr>
        <w:pStyle w:val="161"/>
      </w:pPr>
      <w:r>
        <w:rPr>
          <w:rFonts w:hint="eastAsia"/>
          <w:b/>
        </w:rPr>
        <w:t>8.4.3　</w:t>
      </w:r>
      <w:r>
        <w:rPr>
          <w:rFonts w:hint="eastAsia"/>
        </w:rPr>
        <w:t>在应急处置过程中，应建立信息报送与跨部门协同运行机制，及时汇集和共享结构监测数据、现场检查结果及专家评估意见。应根据撞后评估结论和监测反馈情况，动态调整应急管控等级和处置措施，实现应急响应、技术评估和管理决策的联动运行，保障人员安全、结构安全和水域通航安全。</w:t>
      </w:r>
      <w:r>
        <w:br w:type="page"/>
      </w:r>
    </w:p>
    <w:p w14:paraId="50155DB8">
      <w:pPr>
        <w:pStyle w:val="158"/>
      </w:pPr>
      <w:bookmarkStart w:id="64" w:name="_Toc221528703"/>
      <w:bookmarkStart w:id="65" w:name="_Toc221528774"/>
      <w:r>
        <w:rPr>
          <w:rFonts w:hint="eastAsia"/>
          <w:lang w:eastAsia="zh-CN"/>
        </w:rPr>
        <w:t xml:space="preserve">9  </w:t>
      </w:r>
      <w:r>
        <w:rPr>
          <w:rFonts w:hint="eastAsia"/>
        </w:rPr>
        <w:t>监测系统运维</w:t>
      </w:r>
      <w:bookmarkEnd w:id="64"/>
      <w:bookmarkEnd w:id="65"/>
    </w:p>
    <w:p w14:paraId="5EB9372E">
      <w:pPr>
        <w:pStyle w:val="161"/>
      </w:pPr>
      <w:r>
        <w:rPr>
          <w:rFonts w:hint="eastAsia"/>
          <w:b/>
        </w:rPr>
        <w:t>9.0.1　</w:t>
      </w:r>
      <w:r>
        <w:rPr>
          <w:rFonts w:hint="eastAsia"/>
        </w:rPr>
        <w:t>系统应进行硬件和软件的日常检查和定期维护。</w:t>
      </w:r>
    </w:p>
    <w:p w14:paraId="0286C9AA">
      <w:pPr>
        <w:pStyle w:val="161"/>
      </w:pPr>
      <w:r>
        <w:rPr>
          <w:rFonts w:hint="eastAsia"/>
          <w:b/>
        </w:rPr>
        <w:t>9.0.2　</w:t>
      </w:r>
      <w:r>
        <w:rPr>
          <w:rFonts w:hint="eastAsia"/>
        </w:rPr>
        <w:t>硬件设施日常检查应符合以下规定：</w:t>
      </w:r>
    </w:p>
    <w:p w14:paraId="07F32C18">
      <w:pPr>
        <w:pStyle w:val="167"/>
      </w:pPr>
      <w:r>
        <w:rPr>
          <w:rFonts w:hint="eastAsia"/>
        </w:rPr>
        <w:t>a)</w:t>
      </w:r>
      <w:r>
        <w:rPr>
          <w:rFonts w:hint="eastAsia"/>
        </w:rPr>
        <w:tab/>
      </w:r>
      <w:r>
        <w:rPr>
          <w:rFonts w:hint="eastAsia"/>
        </w:rPr>
        <w:t>日常检查可结合水上构筑物的日常巡查工作开展；</w:t>
      </w:r>
    </w:p>
    <w:p w14:paraId="16EF4414">
      <w:pPr>
        <w:pStyle w:val="167"/>
      </w:pPr>
      <w:r>
        <w:rPr>
          <w:rFonts w:hint="eastAsia"/>
        </w:rPr>
        <w:t>b)</w:t>
      </w:r>
      <w:r>
        <w:rPr>
          <w:rFonts w:hint="eastAsia"/>
        </w:rPr>
        <w:tab/>
      </w:r>
      <w:r>
        <w:rPr>
          <w:rFonts w:hint="eastAsia"/>
        </w:rPr>
        <w:t>日常检查应对监测设备的表观完好性及稳固性进行检查，并对巡查情况进行记录。</w:t>
      </w:r>
    </w:p>
    <w:p w14:paraId="741375F1">
      <w:pPr>
        <w:pStyle w:val="161"/>
      </w:pPr>
      <w:r>
        <w:rPr>
          <w:rFonts w:hint="eastAsia"/>
          <w:b/>
        </w:rPr>
        <w:t>9.0.3　</w:t>
      </w:r>
      <w:r>
        <w:rPr>
          <w:rFonts w:hint="eastAsia"/>
        </w:rPr>
        <w:t>硬件设施定期维护应符合以下规定：</w:t>
      </w:r>
    </w:p>
    <w:p w14:paraId="29A08278">
      <w:pPr>
        <w:pStyle w:val="167"/>
      </w:pPr>
      <w:r>
        <w:rPr>
          <w:rFonts w:hint="eastAsia"/>
        </w:rPr>
        <w:t>a)</w:t>
      </w:r>
      <w:r>
        <w:rPr>
          <w:rFonts w:hint="eastAsia"/>
        </w:rPr>
        <w:tab/>
      </w:r>
      <w:r>
        <w:rPr>
          <w:rFonts w:hint="eastAsia"/>
        </w:rPr>
        <w:t>定期维护周期应不低于每半年进行一次；</w:t>
      </w:r>
    </w:p>
    <w:p w14:paraId="0DBA04A6">
      <w:pPr>
        <w:pStyle w:val="167"/>
      </w:pPr>
      <w:r>
        <w:rPr>
          <w:rFonts w:hint="eastAsia"/>
        </w:rPr>
        <w:t>b)</w:t>
      </w:r>
      <w:r>
        <w:rPr>
          <w:rFonts w:hint="eastAsia"/>
        </w:rPr>
        <w:tab/>
      </w:r>
      <w:r>
        <w:rPr>
          <w:rFonts w:hint="eastAsia"/>
        </w:rPr>
        <w:t>对台风等可预见的特殊事件发生前对系统进行专项维护；</w:t>
      </w:r>
    </w:p>
    <w:p w14:paraId="3450F99F">
      <w:pPr>
        <w:pStyle w:val="167"/>
      </w:pPr>
      <w:r>
        <w:rPr>
          <w:rFonts w:hint="eastAsia"/>
        </w:rPr>
        <w:t>c)</w:t>
      </w:r>
      <w:r>
        <w:rPr>
          <w:rFonts w:hint="eastAsia"/>
        </w:rPr>
        <w:tab/>
      </w:r>
      <w:r>
        <w:rPr>
          <w:rFonts w:hint="eastAsia"/>
        </w:rPr>
        <w:t>对监测设备及防护罩的固定情况、以及传感器、采集设备与传输线路的接头紧固情况进行检查；</w:t>
      </w:r>
    </w:p>
    <w:p w14:paraId="21850DC6">
      <w:pPr>
        <w:pStyle w:val="167"/>
      </w:pPr>
      <w:r>
        <w:rPr>
          <w:rFonts w:hint="eastAsia"/>
        </w:rPr>
        <w:t>d)</w:t>
      </w:r>
      <w:r>
        <w:rPr>
          <w:rFonts w:hint="eastAsia"/>
        </w:rPr>
        <w:tab/>
      </w:r>
      <w:r>
        <w:rPr>
          <w:rFonts w:hint="eastAsia"/>
        </w:rPr>
        <w:t>对现场采集站、监控中心内等易受灰尘影响的设备及机柜进行除尘处理；</w:t>
      </w:r>
    </w:p>
    <w:p w14:paraId="086E2393">
      <w:pPr>
        <w:pStyle w:val="167"/>
      </w:pPr>
      <w:r>
        <w:rPr>
          <w:rFonts w:hint="eastAsia"/>
        </w:rPr>
        <w:t>e)</w:t>
      </w:r>
      <w:r>
        <w:rPr>
          <w:rFonts w:hint="eastAsia"/>
        </w:rPr>
        <w:tab/>
      </w:r>
      <w:r>
        <w:rPr>
          <w:rFonts w:hint="eastAsia"/>
        </w:rPr>
        <w:t>对定期维护发现的问题应在24小时内快速响应和处置。</w:t>
      </w:r>
    </w:p>
    <w:p w14:paraId="04576C30">
      <w:pPr>
        <w:pStyle w:val="161"/>
      </w:pPr>
      <w:r>
        <w:rPr>
          <w:rFonts w:hint="eastAsia"/>
          <w:b/>
        </w:rPr>
        <w:t>9.0.4　</w:t>
      </w:r>
      <w:r>
        <w:rPr>
          <w:rFonts w:hint="eastAsia"/>
        </w:rPr>
        <w:t>软件系统日常检查应符合以下规定：</w:t>
      </w:r>
    </w:p>
    <w:p w14:paraId="28DE203E">
      <w:pPr>
        <w:pStyle w:val="167"/>
      </w:pPr>
      <w:r>
        <w:rPr>
          <w:rFonts w:hint="eastAsia"/>
        </w:rPr>
        <w:t>a)</w:t>
      </w:r>
      <w:r>
        <w:rPr>
          <w:rFonts w:hint="eastAsia"/>
        </w:rPr>
        <w:tab/>
      </w:r>
      <w:r>
        <w:rPr>
          <w:rFonts w:hint="eastAsia"/>
        </w:rPr>
        <w:t>至少每周1次日常检查；</w:t>
      </w:r>
    </w:p>
    <w:p w14:paraId="6C87A3D7">
      <w:pPr>
        <w:pStyle w:val="167"/>
      </w:pPr>
      <w:r>
        <w:rPr>
          <w:rFonts w:hint="eastAsia"/>
        </w:rPr>
        <w:t>b)</w:t>
      </w:r>
      <w:r>
        <w:rPr>
          <w:rFonts w:hint="eastAsia"/>
        </w:rPr>
        <w:tab/>
      </w:r>
      <w:r>
        <w:rPr>
          <w:rFonts w:hint="eastAsia"/>
        </w:rPr>
        <w:t>日常检查内容包括各软件模块功能工作状态检查、实时数据及历史数据检查、超限数据检查确认等。</w:t>
      </w:r>
    </w:p>
    <w:p w14:paraId="2AA56D96">
      <w:pPr>
        <w:pStyle w:val="161"/>
      </w:pPr>
      <w:r>
        <w:rPr>
          <w:rFonts w:hint="eastAsia"/>
          <w:b/>
        </w:rPr>
        <w:t>9.0.5　</w:t>
      </w:r>
      <w:r>
        <w:rPr>
          <w:rFonts w:hint="eastAsia"/>
        </w:rPr>
        <w:t>软件系统定期维护宜符合以下规定：</w:t>
      </w:r>
    </w:p>
    <w:p w14:paraId="2769DE59">
      <w:pPr>
        <w:pStyle w:val="167"/>
      </w:pPr>
      <w:r>
        <w:rPr>
          <w:rFonts w:hint="eastAsia"/>
        </w:rPr>
        <w:t>a)</w:t>
      </w:r>
      <w:r>
        <w:rPr>
          <w:rFonts w:hint="eastAsia"/>
        </w:rPr>
        <w:tab/>
      </w:r>
      <w:r>
        <w:rPr>
          <w:rFonts w:hint="eastAsia"/>
        </w:rPr>
        <w:t>每月至少开展1次定期维护；</w:t>
      </w:r>
    </w:p>
    <w:p w14:paraId="2383C16B">
      <w:pPr>
        <w:pStyle w:val="167"/>
      </w:pPr>
      <w:r>
        <w:rPr>
          <w:rFonts w:hint="eastAsia"/>
        </w:rPr>
        <w:t>b)</w:t>
      </w:r>
      <w:r>
        <w:rPr>
          <w:rFonts w:hint="eastAsia"/>
        </w:rPr>
        <w:tab/>
      </w:r>
      <w:r>
        <w:rPr>
          <w:rFonts w:hint="eastAsia"/>
        </w:rPr>
        <w:t>软件定期维护内容包括软件系统时间同步检查、磁盘存储空间检查及清理、数据库异地备份及软件运行日志检查等；</w:t>
      </w:r>
    </w:p>
    <w:p w14:paraId="109FEB7C">
      <w:pPr>
        <w:pStyle w:val="167"/>
      </w:pPr>
      <w:r>
        <w:rPr>
          <w:rFonts w:hint="eastAsia"/>
        </w:rPr>
        <w:t>c)</w:t>
      </w:r>
      <w:r>
        <w:rPr>
          <w:rFonts w:hint="eastAsia"/>
        </w:rPr>
        <w:tab/>
      </w:r>
      <w:r>
        <w:rPr>
          <w:rFonts w:hint="eastAsia"/>
        </w:rPr>
        <w:t>对于有配置参数修改、更正的维护操作，需应提前做好备份，并在维护完成后做好日志记录。</w:t>
      </w:r>
    </w:p>
    <w:p w14:paraId="62199DB5">
      <w:pPr>
        <w:pStyle w:val="161"/>
      </w:pPr>
      <w:r>
        <w:rPr>
          <w:rFonts w:hint="eastAsia"/>
          <w:b/>
        </w:rPr>
        <w:t>9.0.6　</w:t>
      </w:r>
      <w:r>
        <w:rPr>
          <w:rFonts w:hint="eastAsia"/>
        </w:rPr>
        <w:t>系统应每年至少对硬件设备和软件算法进行一次标定或校准，在环境条件显著变化或监测数据异常时应重新标定或校准。</w:t>
      </w:r>
    </w:p>
    <w:p w14:paraId="0BC4024C">
      <w:pPr>
        <w:pStyle w:val="161"/>
      </w:pPr>
      <w:r>
        <w:rPr>
          <w:rFonts w:hint="eastAsia"/>
          <w:b/>
        </w:rPr>
        <w:t>9.0.7　</w:t>
      </w:r>
      <w:r>
        <w:rPr>
          <w:rFonts w:hint="eastAsia"/>
        </w:rPr>
        <w:t>系统应急维护宜符合以下规定：</w:t>
      </w:r>
    </w:p>
    <w:p w14:paraId="7998D368">
      <w:pPr>
        <w:pStyle w:val="167"/>
      </w:pPr>
      <w:r>
        <w:rPr>
          <w:rFonts w:hint="eastAsia"/>
        </w:rPr>
        <w:t>a)</w:t>
      </w:r>
      <w:r>
        <w:rPr>
          <w:rFonts w:hint="eastAsia"/>
        </w:rPr>
        <w:tab/>
      </w:r>
      <w:r>
        <w:rPr>
          <w:rFonts w:hint="eastAsia"/>
        </w:rPr>
        <w:t>对台风、船撞等事件造成的硬件损坏应进行应急维护，宜在事件发生的24小时内更换完毕；</w:t>
      </w:r>
    </w:p>
    <w:p w14:paraId="76F326A7">
      <w:pPr>
        <w:pStyle w:val="167"/>
      </w:pPr>
      <w:r>
        <w:rPr>
          <w:rFonts w:hint="eastAsia"/>
        </w:rPr>
        <w:t>b)</w:t>
      </w:r>
      <w:r>
        <w:rPr>
          <w:rFonts w:hint="eastAsia"/>
        </w:rPr>
        <w:tab/>
      </w:r>
      <w:r>
        <w:rPr>
          <w:rFonts w:hint="eastAsia"/>
        </w:rPr>
        <w:t>软件应急维护内容包括软件崩溃恢复、功能异常修复和数据异常更正等。</w:t>
      </w:r>
    </w:p>
    <w:p w14:paraId="5BBA39DC">
      <w:pPr>
        <w:pStyle w:val="161"/>
        <w:sectPr>
          <w:footerReference r:id="rId15" w:type="first"/>
          <w:pgSz w:w="11906" w:h="16838"/>
          <w:pgMar w:top="1417" w:right="1417" w:bottom="1417" w:left="1417" w:header="851" w:footer="992" w:gutter="0"/>
          <w:pgNumType w:start="1"/>
          <w:cols w:space="720" w:num="1"/>
          <w:docGrid w:type="lines" w:linePitch="312" w:charSpace="0"/>
        </w:sectPr>
      </w:pPr>
    </w:p>
    <w:p w14:paraId="124A8291">
      <w:pPr>
        <w:pStyle w:val="169"/>
      </w:pPr>
      <w:bookmarkStart w:id="66" w:name="_Toc435778403"/>
      <w:bookmarkStart w:id="67" w:name="_Toc221528704"/>
      <w:bookmarkStart w:id="68" w:name="_Toc221528775"/>
      <w:r>
        <w:t>附录</w:t>
      </w:r>
      <w:r>
        <w:rPr>
          <w:rFonts w:hint="eastAsia"/>
        </w:rPr>
        <w:t>A</w:t>
      </w:r>
      <w:bookmarkEnd w:id="66"/>
      <w:r>
        <w:br w:type="textWrapping"/>
      </w:r>
      <w:r>
        <w:rPr>
          <w:rFonts w:hint="eastAsia"/>
        </w:rPr>
        <w:t>（资料性）</w:t>
      </w:r>
      <w:r>
        <w:br w:type="textWrapping"/>
      </w:r>
      <w:r>
        <w:rPr>
          <w:rFonts w:hint="eastAsia"/>
        </w:rPr>
        <w:t>测点布设示意图</w:t>
      </w:r>
      <w:bookmarkEnd w:id="67"/>
      <w:bookmarkEnd w:id="68"/>
    </w:p>
    <w:p w14:paraId="2FB7A4CD">
      <w:pPr>
        <w:pStyle w:val="170"/>
      </w:pPr>
      <w:r>
        <w:rPr>
          <w:rFonts w:hint="eastAsia"/>
          <w:b/>
          <w:bCs/>
        </w:rPr>
        <w:t>A.0.1</w:t>
      </w:r>
      <w:bookmarkStart w:id="69" w:name="_Hlk221283669"/>
      <w:r>
        <w:rPr>
          <w:rFonts w:hint="eastAsia"/>
        </w:rPr>
        <w:t>　</w:t>
      </w:r>
      <w:bookmarkEnd w:id="69"/>
      <w:r>
        <w:rPr>
          <w:rFonts w:hint="eastAsia"/>
        </w:rPr>
        <w:t>测点布设示意图</w:t>
      </w:r>
      <w:r>
        <w:rPr>
          <w:rFonts w:cs="Times New Roman"/>
        </w:rPr>
        <w:t>如图A.1~A.8所</w:t>
      </w:r>
      <w:r>
        <w:rPr>
          <w:rFonts w:hint="eastAsia"/>
        </w:rPr>
        <w:t>示。</w:t>
      </w:r>
    </w:p>
    <w:p w14:paraId="56EB531B">
      <w:pPr>
        <w:pStyle w:val="171"/>
      </w:pPr>
      <w:r>
        <w:drawing>
          <wp:inline distT="0" distB="0" distL="114300" distR="114300">
            <wp:extent cx="5760720" cy="1415415"/>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9"/>
                    <a:srcRect b="28685"/>
                    <a:stretch>
                      <a:fillRect/>
                    </a:stretch>
                  </pic:blipFill>
                  <pic:spPr>
                    <a:xfrm>
                      <a:off x="0" y="0"/>
                      <a:ext cx="5760720" cy="1415964"/>
                    </a:xfrm>
                    <a:prstGeom prst="rect">
                      <a:avLst/>
                    </a:prstGeom>
                    <a:noFill/>
                    <a:ln>
                      <a:noFill/>
                    </a:ln>
                  </pic:spPr>
                </pic:pic>
              </a:graphicData>
            </a:graphic>
          </wp:inline>
        </w:drawing>
      </w:r>
    </w:p>
    <w:p w14:paraId="64E3D438">
      <w:pPr>
        <w:pStyle w:val="170"/>
      </w:pPr>
      <w:r>
        <w:rPr>
          <w:rFonts w:hint="eastAsia"/>
        </w:rPr>
        <w:t>标引序号说明：</w:t>
      </w:r>
    </w:p>
    <w:p w14:paraId="13515046">
      <w:pPr>
        <w:pStyle w:val="170"/>
        <w:rPr>
          <w:rFonts w:cs="Times New Roman"/>
        </w:rPr>
      </w:pPr>
      <w:r>
        <w:rPr>
          <w:rFonts w:cs="Times New Roman"/>
        </w:rPr>
        <w:t>1——云台摄像机；</w:t>
      </w:r>
      <w:r>
        <w:rPr>
          <w:rFonts w:cs="Times New Roman"/>
        </w:rPr>
        <w:tab/>
      </w:r>
      <w:r>
        <w:rPr>
          <w:rFonts w:cs="Times New Roman"/>
        </w:rPr>
        <w:t>2——枪型摄像机；</w:t>
      </w:r>
      <w:r>
        <w:rPr>
          <w:rFonts w:cs="Times New Roman"/>
        </w:rPr>
        <w:tab/>
      </w:r>
      <w:r>
        <w:rPr>
          <w:rFonts w:cs="Times New Roman"/>
        </w:rPr>
        <w:t>3——微波雷达；</w:t>
      </w:r>
      <w:r>
        <w:rPr>
          <w:rFonts w:cs="Times New Roman"/>
        </w:rPr>
        <w:tab/>
      </w:r>
      <w:r>
        <w:rPr>
          <w:rFonts w:cs="Times New Roman"/>
        </w:rPr>
        <w:tab/>
      </w:r>
      <w:r>
        <w:rPr>
          <w:rFonts w:cs="Times New Roman"/>
        </w:rPr>
        <w:tab/>
      </w:r>
      <w:r>
        <w:rPr>
          <w:rFonts w:cs="Times New Roman"/>
        </w:rPr>
        <w:t>4——AIS；</w:t>
      </w:r>
    </w:p>
    <w:p w14:paraId="31813E6F">
      <w:pPr>
        <w:pStyle w:val="170"/>
        <w:rPr>
          <w:rFonts w:cs="Times New Roman"/>
        </w:rPr>
      </w:pPr>
      <w:r>
        <w:rPr>
          <w:rFonts w:cs="Times New Roman"/>
        </w:rPr>
        <w:t>5——三维激光雷达；</w:t>
      </w:r>
      <w:r>
        <w:rPr>
          <w:rFonts w:cs="Times New Roman"/>
        </w:rPr>
        <w:tab/>
      </w:r>
      <w:r>
        <w:rPr>
          <w:rFonts w:cs="Times New Roman"/>
        </w:rPr>
        <w:t>6——声光预警装置；</w:t>
      </w:r>
      <w:r>
        <w:rPr>
          <w:rFonts w:cs="Times New Roman"/>
        </w:rPr>
        <w:tab/>
      </w:r>
      <w:r>
        <w:rPr>
          <w:rFonts w:cs="Times New Roman"/>
        </w:rPr>
        <w:t>7——VHF预警设备。</w:t>
      </w:r>
    </w:p>
    <w:p w14:paraId="5D9C4815">
      <w:pPr>
        <w:pStyle w:val="171"/>
      </w:pPr>
      <w:r>
        <w:rPr>
          <w:rFonts w:hint="eastAsia"/>
        </w:rPr>
        <w:t>图A.1 斜拉桥测点布设示意图</w:t>
      </w:r>
    </w:p>
    <w:p w14:paraId="649EAB2D">
      <w:pPr>
        <w:pStyle w:val="171"/>
      </w:pPr>
    </w:p>
    <w:p w14:paraId="1835C8D4">
      <w:pPr>
        <w:pStyle w:val="171"/>
      </w:pPr>
    </w:p>
    <w:p w14:paraId="6B98F640">
      <w:pPr>
        <w:pStyle w:val="171"/>
      </w:pPr>
      <w:r>
        <w:drawing>
          <wp:inline distT="0" distB="0" distL="0" distR="0">
            <wp:extent cx="5935980" cy="1256030"/>
            <wp:effectExtent l="0" t="0" r="7620" b="127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5980" cy="1256030"/>
                    </a:xfrm>
                    <a:prstGeom prst="rect">
                      <a:avLst/>
                    </a:prstGeom>
                    <a:noFill/>
                    <a:ln>
                      <a:noFill/>
                    </a:ln>
                  </pic:spPr>
                </pic:pic>
              </a:graphicData>
            </a:graphic>
          </wp:inline>
        </w:drawing>
      </w:r>
    </w:p>
    <w:p w14:paraId="3DF02646">
      <w:pPr>
        <w:pStyle w:val="171"/>
      </w:pPr>
    </w:p>
    <w:p w14:paraId="4DA35175">
      <w:pPr>
        <w:pStyle w:val="170"/>
      </w:pPr>
      <w:r>
        <w:rPr>
          <w:rFonts w:hint="eastAsia"/>
        </w:rPr>
        <w:t>标引序号说明：</w:t>
      </w:r>
    </w:p>
    <w:p w14:paraId="0D78CFA5">
      <w:pPr>
        <w:pStyle w:val="170"/>
        <w:rPr>
          <w:rFonts w:cs="Times New Roman"/>
        </w:rPr>
      </w:pPr>
      <w:r>
        <w:rPr>
          <w:rFonts w:cs="Times New Roman"/>
        </w:rPr>
        <w:t>1——云台摄像机；</w:t>
      </w:r>
      <w:r>
        <w:rPr>
          <w:rFonts w:cs="Times New Roman"/>
        </w:rPr>
        <w:tab/>
      </w:r>
      <w:r>
        <w:rPr>
          <w:rFonts w:cs="Times New Roman"/>
        </w:rPr>
        <w:t>2——枪型摄像机；</w:t>
      </w:r>
      <w:r>
        <w:rPr>
          <w:rFonts w:cs="Times New Roman"/>
        </w:rPr>
        <w:tab/>
      </w:r>
      <w:r>
        <w:rPr>
          <w:rFonts w:cs="Times New Roman"/>
        </w:rPr>
        <w:t>3——微波雷达；</w:t>
      </w:r>
      <w:r>
        <w:rPr>
          <w:rFonts w:cs="Times New Roman"/>
        </w:rPr>
        <w:tab/>
      </w:r>
      <w:r>
        <w:rPr>
          <w:rFonts w:cs="Times New Roman"/>
        </w:rPr>
        <w:tab/>
      </w:r>
      <w:r>
        <w:rPr>
          <w:rFonts w:cs="Times New Roman"/>
        </w:rPr>
        <w:tab/>
      </w:r>
      <w:r>
        <w:rPr>
          <w:rFonts w:cs="Times New Roman"/>
        </w:rPr>
        <w:t>4——AIS；</w:t>
      </w:r>
    </w:p>
    <w:p w14:paraId="6EC2B41F">
      <w:pPr>
        <w:pStyle w:val="170"/>
        <w:rPr>
          <w:rFonts w:cs="Times New Roman"/>
        </w:rPr>
      </w:pPr>
      <w:r>
        <w:rPr>
          <w:rFonts w:cs="Times New Roman"/>
        </w:rPr>
        <w:t>5——三维激光雷达；</w:t>
      </w:r>
      <w:r>
        <w:rPr>
          <w:rFonts w:cs="Times New Roman"/>
        </w:rPr>
        <w:tab/>
      </w:r>
      <w:r>
        <w:rPr>
          <w:rFonts w:cs="Times New Roman"/>
        </w:rPr>
        <w:t>6——声光预警装置；</w:t>
      </w:r>
      <w:r>
        <w:rPr>
          <w:rFonts w:cs="Times New Roman"/>
        </w:rPr>
        <w:tab/>
      </w:r>
      <w:r>
        <w:rPr>
          <w:rFonts w:cs="Times New Roman"/>
        </w:rPr>
        <w:t>7——VHF预警设备。</w:t>
      </w:r>
    </w:p>
    <w:p w14:paraId="2E295B7E">
      <w:pPr>
        <w:pStyle w:val="171"/>
      </w:pPr>
      <w:r>
        <w:rPr>
          <w:rFonts w:hint="eastAsia"/>
        </w:rPr>
        <w:t>图A.2 悬索桥测点布设示意图</w:t>
      </w:r>
    </w:p>
    <w:p w14:paraId="6714E900">
      <w:pPr>
        <w:pStyle w:val="170"/>
      </w:pPr>
    </w:p>
    <w:p w14:paraId="0E1BE8AB">
      <w:pPr>
        <w:pStyle w:val="170"/>
      </w:pPr>
    </w:p>
    <w:p w14:paraId="6F08E8F3">
      <w:pPr>
        <w:pStyle w:val="170"/>
      </w:pPr>
    </w:p>
    <w:p w14:paraId="42C48BEF">
      <w:pPr>
        <w:pStyle w:val="170"/>
      </w:pPr>
    </w:p>
    <w:p w14:paraId="731F77FC">
      <w:pPr>
        <w:pStyle w:val="170"/>
      </w:pPr>
    </w:p>
    <w:p w14:paraId="28B0A60E">
      <w:pPr>
        <w:pStyle w:val="170"/>
      </w:pPr>
    </w:p>
    <w:p w14:paraId="5A60E898">
      <w:pPr>
        <w:pStyle w:val="171"/>
      </w:pPr>
      <w:r>
        <w:drawing>
          <wp:inline distT="0" distB="0" distL="114300" distR="114300">
            <wp:extent cx="5760720" cy="1559560"/>
            <wp:effectExtent l="0" t="0" r="0" b="254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21"/>
                    <a:stretch>
                      <a:fillRect/>
                    </a:stretch>
                  </pic:blipFill>
                  <pic:spPr>
                    <a:xfrm>
                      <a:off x="0" y="0"/>
                      <a:ext cx="5760720" cy="1559873"/>
                    </a:xfrm>
                    <a:prstGeom prst="rect">
                      <a:avLst/>
                    </a:prstGeom>
                    <a:noFill/>
                    <a:ln>
                      <a:noFill/>
                    </a:ln>
                  </pic:spPr>
                </pic:pic>
              </a:graphicData>
            </a:graphic>
          </wp:inline>
        </w:drawing>
      </w:r>
    </w:p>
    <w:p w14:paraId="5946E089">
      <w:pPr>
        <w:pStyle w:val="170"/>
      </w:pPr>
      <w:r>
        <w:rPr>
          <w:rFonts w:hint="eastAsia"/>
        </w:rPr>
        <w:t>标引序号说明：</w:t>
      </w:r>
    </w:p>
    <w:p w14:paraId="0F20BD44">
      <w:pPr>
        <w:pStyle w:val="170"/>
        <w:rPr>
          <w:rFonts w:cs="Times New Roman"/>
        </w:rPr>
      </w:pPr>
      <w:r>
        <w:rPr>
          <w:rFonts w:cs="Times New Roman"/>
        </w:rPr>
        <w:t>1——云台摄像机；</w:t>
      </w:r>
      <w:r>
        <w:rPr>
          <w:rFonts w:cs="Times New Roman"/>
        </w:rPr>
        <w:tab/>
      </w:r>
      <w:r>
        <w:rPr>
          <w:rFonts w:cs="Times New Roman"/>
        </w:rPr>
        <w:t>2——枪型摄像机；</w:t>
      </w:r>
      <w:r>
        <w:rPr>
          <w:rFonts w:cs="Times New Roman"/>
        </w:rPr>
        <w:tab/>
      </w:r>
      <w:r>
        <w:rPr>
          <w:rFonts w:cs="Times New Roman"/>
        </w:rPr>
        <w:t>3——微波雷达；</w:t>
      </w:r>
      <w:r>
        <w:rPr>
          <w:rFonts w:cs="Times New Roman"/>
        </w:rPr>
        <w:tab/>
      </w:r>
      <w:r>
        <w:rPr>
          <w:rFonts w:cs="Times New Roman"/>
        </w:rPr>
        <w:tab/>
      </w:r>
      <w:r>
        <w:rPr>
          <w:rFonts w:cs="Times New Roman"/>
        </w:rPr>
        <w:tab/>
      </w:r>
      <w:r>
        <w:rPr>
          <w:rFonts w:cs="Times New Roman"/>
        </w:rPr>
        <w:t>4——AIS；</w:t>
      </w:r>
    </w:p>
    <w:p w14:paraId="760996D7">
      <w:pPr>
        <w:pStyle w:val="170"/>
        <w:rPr>
          <w:rFonts w:cs="Times New Roman"/>
        </w:rPr>
      </w:pPr>
      <w:r>
        <w:rPr>
          <w:rFonts w:cs="Times New Roman"/>
        </w:rPr>
        <w:t>5——三维激光雷达；</w:t>
      </w:r>
      <w:r>
        <w:rPr>
          <w:rFonts w:cs="Times New Roman"/>
        </w:rPr>
        <w:tab/>
      </w:r>
      <w:r>
        <w:rPr>
          <w:rFonts w:cs="Times New Roman"/>
        </w:rPr>
        <w:t>6——声光预警装置；</w:t>
      </w:r>
      <w:r>
        <w:rPr>
          <w:rFonts w:cs="Times New Roman"/>
        </w:rPr>
        <w:tab/>
      </w:r>
      <w:r>
        <w:rPr>
          <w:rFonts w:cs="Times New Roman"/>
        </w:rPr>
        <w:t>7——VHF预警设备</w:t>
      </w:r>
    </w:p>
    <w:p w14:paraId="68ECBEB3">
      <w:pPr>
        <w:pStyle w:val="171"/>
      </w:pPr>
      <w:r>
        <w:rPr>
          <w:rFonts w:hint="eastAsia"/>
        </w:rPr>
        <w:t>图A.3 拱桥测点布设示意图</w:t>
      </w:r>
    </w:p>
    <w:p w14:paraId="5D5CB7F6">
      <w:pPr>
        <w:pStyle w:val="170"/>
      </w:pPr>
    </w:p>
    <w:p w14:paraId="490A3787">
      <w:pPr>
        <w:pStyle w:val="170"/>
      </w:pPr>
    </w:p>
    <w:p w14:paraId="280103BF">
      <w:pPr>
        <w:pStyle w:val="170"/>
      </w:pPr>
    </w:p>
    <w:p w14:paraId="49F977B9">
      <w:pPr>
        <w:pStyle w:val="170"/>
      </w:pPr>
    </w:p>
    <w:p w14:paraId="0272DD09">
      <w:pPr>
        <w:pStyle w:val="170"/>
      </w:pPr>
    </w:p>
    <w:p w14:paraId="0B965A2B">
      <w:pPr>
        <w:pStyle w:val="171"/>
      </w:pPr>
      <w:r>
        <w:rPr>
          <w:shd w:val="clear" w:color="FFFFFF" w:fill="D9D9D9"/>
        </w:rPr>
        <w:drawing>
          <wp:inline distT="0" distB="0" distL="114300" distR="114300">
            <wp:extent cx="5760720" cy="1472565"/>
            <wp:effectExtent l="0" t="0" r="0" b="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22"/>
                    <a:srcRect r="124" b="1918"/>
                    <a:stretch>
                      <a:fillRect/>
                    </a:stretch>
                  </pic:blipFill>
                  <pic:spPr>
                    <a:xfrm>
                      <a:off x="0" y="0"/>
                      <a:ext cx="5760720" cy="1472852"/>
                    </a:xfrm>
                    <a:prstGeom prst="rect">
                      <a:avLst/>
                    </a:prstGeom>
                    <a:noFill/>
                    <a:ln>
                      <a:noFill/>
                    </a:ln>
                  </pic:spPr>
                </pic:pic>
              </a:graphicData>
            </a:graphic>
          </wp:inline>
        </w:drawing>
      </w:r>
    </w:p>
    <w:p w14:paraId="220DEA6F">
      <w:pPr>
        <w:pStyle w:val="170"/>
      </w:pPr>
      <w:r>
        <w:rPr>
          <w:rFonts w:hint="eastAsia"/>
        </w:rPr>
        <w:t>标引序号说明：</w:t>
      </w:r>
    </w:p>
    <w:p w14:paraId="0AE76163">
      <w:pPr>
        <w:pStyle w:val="170"/>
        <w:rPr>
          <w:rFonts w:cs="Times New Roman"/>
        </w:rPr>
      </w:pPr>
      <w:r>
        <w:rPr>
          <w:rFonts w:cs="Times New Roman"/>
        </w:rPr>
        <w:t>1——云台摄像机；</w:t>
      </w:r>
      <w:r>
        <w:rPr>
          <w:rFonts w:cs="Times New Roman"/>
        </w:rPr>
        <w:tab/>
      </w:r>
      <w:r>
        <w:rPr>
          <w:rFonts w:cs="Times New Roman"/>
        </w:rPr>
        <w:t>2——枪型摄像机；</w:t>
      </w:r>
      <w:r>
        <w:rPr>
          <w:rFonts w:cs="Times New Roman"/>
        </w:rPr>
        <w:tab/>
      </w:r>
      <w:r>
        <w:rPr>
          <w:rFonts w:cs="Times New Roman"/>
        </w:rPr>
        <w:t>3——微波雷达；</w:t>
      </w:r>
      <w:r>
        <w:rPr>
          <w:rFonts w:cs="Times New Roman"/>
        </w:rPr>
        <w:tab/>
      </w:r>
      <w:r>
        <w:rPr>
          <w:rFonts w:cs="Times New Roman"/>
        </w:rPr>
        <w:tab/>
      </w:r>
      <w:r>
        <w:rPr>
          <w:rFonts w:cs="Times New Roman"/>
        </w:rPr>
        <w:tab/>
      </w:r>
      <w:r>
        <w:rPr>
          <w:rFonts w:cs="Times New Roman"/>
        </w:rPr>
        <w:t>4——AIS；</w:t>
      </w:r>
    </w:p>
    <w:p w14:paraId="698FB89D">
      <w:pPr>
        <w:pStyle w:val="170"/>
        <w:rPr>
          <w:rFonts w:cs="Times New Roman"/>
        </w:rPr>
      </w:pPr>
      <w:r>
        <w:rPr>
          <w:rFonts w:cs="Times New Roman"/>
        </w:rPr>
        <w:t>5——三维激光雷达；</w:t>
      </w:r>
      <w:r>
        <w:rPr>
          <w:rFonts w:cs="Times New Roman"/>
        </w:rPr>
        <w:tab/>
      </w:r>
      <w:r>
        <w:rPr>
          <w:rFonts w:cs="Times New Roman"/>
        </w:rPr>
        <w:t>6——声光预警装置；</w:t>
      </w:r>
      <w:r>
        <w:rPr>
          <w:rFonts w:cs="Times New Roman"/>
        </w:rPr>
        <w:tab/>
      </w:r>
      <w:r>
        <w:rPr>
          <w:rFonts w:cs="Times New Roman"/>
        </w:rPr>
        <w:t>7——VHF预警设备。</w:t>
      </w:r>
    </w:p>
    <w:p w14:paraId="49AA5695">
      <w:pPr>
        <w:pStyle w:val="171"/>
      </w:pPr>
      <w:r>
        <w:rPr>
          <w:rFonts w:hint="eastAsia"/>
        </w:rPr>
        <w:t>图A.4 梁桥测点布设示意图</w:t>
      </w:r>
    </w:p>
    <w:p w14:paraId="26C877BC">
      <w:pPr>
        <w:pStyle w:val="170"/>
      </w:pPr>
    </w:p>
    <w:p w14:paraId="73A62675">
      <w:pPr>
        <w:pStyle w:val="171"/>
      </w:pPr>
      <w:r>
        <w:drawing>
          <wp:inline distT="0" distB="0" distL="0" distR="0">
            <wp:extent cx="4108450" cy="3759835"/>
            <wp:effectExtent l="0" t="0" r="635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08450" cy="3759835"/>
                    </a:xfrm>
                    <a:prstGeom prst="rect">
                      <a:avLst/>
                    </a:prstGeom>
                    <a:noFill/>
                    <a:ln>
                      <a:noFill/>
                    </a:ln>
                  </pic:spPr>
                </pic:pic>
              </a:graphicData>
            </a:graphic>
          </wp:inline>
        </w:drawing>
      </w:r>
    </w:p>
    <w:p w14:paraId="4FA6476D">
      <w:pPr>
        <w:pStyle w:val="170"/>
      </w:pPr>
      <w:r>
        <w:rPr>
          <w:rFonts w:hint="eastAsia"/>
        </w:rPr>
        <w:t>标引序号说明：</w:t>
      </w:r>
    </w:p>
    <w:p w14:paraId="390F10D7">
      <w:pPr>
        <w:pStyle w:val="170"/>
        <w:rPr>
          <w:rFonts w:cs="Times New Roman"/>
        </w:rPr>
      </w:pPr>
      <w:r>
        <w:rPr>
          <w:rFonts w:cs="Times New Roman"/>
        </w:rPr>
        <w:t>1——云台摄像机；</w:t>
      </w:r>
      <w:r>
        <w:rPr>
          <w:rFonts w:cs="Times New Roman"/>
        </w:rPr>
        <w:tab/>
      </w:r>
      <w:r>
        <w:rPr>
          <w:rFonts w:cs="Times New Roman"/>
        </w:rPr>
        <w:t>2——枪型摄像机；</w:t>
      </w:r>
      <w:r>
        <w:rPr>
          <w:rFonts w:cs="Times New Roman"/>
        </w:rPr>
        <w:tab/>
      </w:r>
      <w:r>
        <w:rPr>
          <w:rFonts w:cs="Times New Roman"/>
        </w:rPr>
        <w:t>3——激光限高；</w:t>
      </w:r>
    </w:p>
    <w:p w14:paraId="1205E5B2">
      <w:pPr>
        <w:pStyle w:val="171"/>
      </w:pPr>
      <w:r>
        <w:rPr>
          <w:rFonts w:hint="eastAsia"/>
        </w:rPr>
        <w:t>图A.5 桥梁岸上测点布设俯视图</w:t>
      </w:r>
    </w:p>
    <w:p w14:paraId="56AF9FF9">
      <w:pPr>
        <w:pStyle w:val="171"/>
      </w:pPr>
      <w:r>
        <w:drawing>
          <wp:inline distT="0" distB="0" distL="0" distR="0">
            <wp:extent cx="4954270" cy="28797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4" cstate="print">
                      <a:extLst>
                        <a:ext uri="{28A0092B-C50C-407E-A947-70E740481C1C}">
                          <a14:useLocalDpi xmlns:a14="http://schemas.microsoft.com/office/drawing/2010/main" val="0"/>
                        </a:ext>
                      </a:extLst>
                    </a:blip>
                    <a:srcRect t="16321" b="25549"/>
                    <a:stretch>
                      <a:fillRect/>
                    </a:stretch>
                  </pic:blipFill>
                  <pic:spPr>
                    <a:xfrm>
                      <a:off x="0" y="0"/>
                      <a:ext cx="4954446" cy="2880000"/>
                    </a:xfrm>
                    <a:prstGeom prst="rect">
                      <a:avLst/>
                    </a:prstGeom>
                    <a:ln>
                      <a:noFill/>
                    </a:ln>
                  </pic:spPr>
                </pic:pic>
              </a:graphicData>
            </a:graphic>
          </wp:inline>
        </w:drawing>
      </w:r>
    </w:p>
    <w:p w14:paraId="07498C20">
      <w:pPr>
        <w:pStyle w:val="170"/>
      </w:pPr>
      <w:r>
        <w:rPr>
          <w:rFonts w:hint="eastAsia"/>
        </w:rPr>
        <w:t>标引序号说明：</w:t>
      </w:r>
    </w:p>
    <w:p w14:paraId="2B914C6B">
      <w:pPr>
        <w:pStyle w:val="170"/>
        <w:rPr>
          <w:rFonts w:cs="Times New Roman"/>
        </w:rPr>
      </w:pPr>
      <w:r>
        <w:rPr>
          <w:rFonts w:cs="Times New Roman"/>
        </w:rPr>
        <w:t>1——云台摄像机；</w:t>
      </w:r>
      <w:r>
        <w:rPr>
          <w:rFonts w:cs="Times New Roman"/>
        </w:rPr>
        <w:tab/>
      </w:r>
      <w:r>
        <w:rPr>
          <w:rFonts w:cs="Times New Roman"/>
        </w:rPr>
        <w:t>2——枪型摄像机；</w:t>
      </w:r>
      <w:r>
        <w:rPr>
          <w:rFonts w:cs="Times New Roman"/>
        </w:rPr>
        <w:tab/>
      </w:r>
      <w:r>
        <w:rPr>
          <w:rFonts w:cs="Times New Roman"/>
        </w:rPr>
        <w:t>3——微波雷达；</w:t>
      </w:r>
      <w:r>
        <w:rPr>
          <w:rFonts w:cs="Times New Roman"/>
        </w:rPr>
        <w:tab/>
      </w:r>
      <w:r>
        <w:rPr>
          <w:rFonts w:cs="Times New Roman"/>
        </w:rPr>
        <w:tab/>
      </w:r>
      <w:r>
        <w:rPr>
          <w:rFonts w:cs="Times New Roman"/>
        </w:rPr>
        <w:tab/>
      </w:r>
      <w:r>
        <w:rPr>
          <w:rFonts w:cs="Times New Roman"/>
        </w:rPr>
        <w:t>4——AIS；</w:t>
      </w:r>
    </w:p>
    <w:p w14:paraId="002D5F78">
      <w:pPr>
        <w:pStyle w:val="170"/>
        <w:rPr>
          <w:rFonts w:cs="Times New Roman"/>
        </w:rPr>
      </w:pPr>
      <w:r>
        <w:rPr>
          <w:rFonts w:cs="Times New Roman"/>
        </w:rPr>
        <w:t>5——三维激光雷达；</w:t>
      </w:r>
      <w:r>
        <w:rPr>
          <w:rFonts w:cs="Times New Roman"/>
        </w:rPr>
        <w:tab/>
      </w:r>
      <w:r>
        <w:rPr>
          <w:rFonts w:cs="Times New Roman"/>
        </w:rPr>
        <w:t>6——声光预警装置；</w:t>
      </w:r>
      <w:r>
        <w:rPr>
          <w:rFonts w:cs="Times New Roman"/>
        </w:rPr>
        <w:tab/>
      </w:r>
      <w:r>
        <w:rPr>
          <w:rFonts w:cs="Times New Roman"/>
        </w:rPr>
        <w:t>7——VHF预警设备。</w:t>
      </w:r>
    </w:p>
    <w:p w14:paraId="67B433B7">
      <w:pPr>
        <w:pStyle w:val="171"/>
      </w:pPr>
      <w:r>
        <w:rPr>
          <w:rFonts w:hint="eastAsia"/>
        </w:rPr>
        <w:t>图A.6 水上房屋测点布设示意图</w:t>
      </w:r>
    </w:p>
    <w:p w14:paraId="0730EB5F">
      <w:pPr>
        <w:pStyle w:val="171"/>
      </w:pPr>
      <w:r>
        <w:drawing>
          <wp:inline distT="0" distB="0" distL="0" distR="0">
            <wp:extent cx="5760720" cy="3399790"/>
            <wp:effectExtent l="0" t="0" r="0" b="0"/>
            <wp:docPr id="20" name="图片 20" descr="图示, 工程绘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示, 工程绘图&#10;&#10;AI 生成的内容可能不正确。"/>
                    <pic:cNvPicPr>
                      <a:picLocks noChangeAspect="1"/>
                    </pic:cNvPicPr>
                  </pic:nvPicPr>
                  <pic:blipFill>
                    <a:blip r:embed="rId25" cstate="print">
                      <a:extLst>
                        <a:ext uri="{28A0092B-C50C-407E-A947-70E740481C1C}">
                          <a14:useLocalDpi xmlns:a14="http://schemas.microsoft.com/office/drawing/2010/main" val="0"/>
                        </a:ext>
                      </a:extLst>
                    </a:blip>
                    <a:srcRect t="10230" b="8880"/>
                    <a:stretch>
                      <a:fillRect/>
                    </a:stretch>
                  </pic:blipFill>
                  <pic:spPr>
                    <a:xfrm>
                      <a:off x="0" y="0"/>
                      <a:ext cx="5760720" cy="3400254"/>
                    </a:xfrm>
                    <a:prstGeom prst="rect">
                      <a:avLst/>
                    </a:prstGeom>
                    <a:ln>
                      <a:noFill/>
                    </a:ln>
                  </pic:spPr>
                </pic:pic>
              </a:graphicData>
            </a:graphic>
          </wp:inline>
        </w:drawing>
      </w:r>
    </w:p>
    <w:p w14:paraId="7AC24EFC">
      <w:pPr>
        <w:pStyle w:val="170"/>
      </w:pPr>
      <w:r>
        <w:rPr>
          <w:rFonts w:hint="eastAsia"/>
        </w:rPr>
        <w:t>标引序号说明：</w:t>
      </w:r>
    </w:p>
    <w:p w14:paraId="0B5D1196">
      <w:pPr>
        <w:pStyle w:val="170"/>
        <w:rPr>
          <w:rFonts w:cs="Times New Roman"/>
        </w:rPr>
      </w:pPr>
      <w:r>
        <w:rPr>
          <w:rFonts w:cs="Times New Roman"/>
        </w:rPr>
        <w:t>1——云台摄像机；</w:t>
      </w:r>
      <w:r>
        <w:rPr>
          <w:rFonts w:cs="Times New Roman"/>
        </w:rPr>
        <w:tab/>
      </w:r>
      <w:r>
        <w:rPr>
          <w:rFonts w:cs="Times New Roman"/>
        </w:rPr>
        <w:t>2——枪型摄像机；</w:t>
      </w:r>
      <w:r>
        <w:rPr>
          <w:rFonts w:cs="Times New Roman"/>
        </w:rPr>
        <w:tab/>
      </w:r>
      <w:r>
        <w:rPr>
          <w:rFonts w:cs="Times New Roman"/>
        </w:rPr>
        <w:t>3——微波雷达；</w:t>
      </w:r>
      <w:r>
        <w:rPr>
          <w:rFonts w:cs="Times New Roman"/>
        </w:rPr>
        <w:tab/>
      </w:r>
      <w:r>
        <w:rPr>
          <w:rFonts w:cs="Times New Roman"/>
        </w:rPr>
        <w:tab/>
      </w:r>
      <w:r>
        <w:rPr>
          <w:rFonts w:cs="Times New Roman"/>
        </w:rPr>
        <w:tab/>
      </w:r>
      <w:r>
        <w:rPr>
          <w:rFonts w:cs="Times New Roman"/>
        </w:rPr>
        <w:t>4——AIS；</w:t>
      </w:r>
    </w:p>
    <w:p w14:paraId="0C785AAC">
      <w:pPr>
        <w:pStyle w:val="170"/>
        <w:rPr>
          <w:rFonts w:cs="Times New Roman"/>
        </w:rPr>
      </w:pPr>
      <w:r>
        <w:rPr>
          <w:rFonts w:cs="Times New Roman"/>
        </w:rPr>
        <w:t>5——三维激光雷达；</w:t>
      </w:r>
      <w:r>
        <w:rPr>
          <w:rFonts w:cs="Times New Roman"/>
        </w:rPr>
        <w:tab/>
      </w:r>
      <w:r>
        <w:rPr>
          <w:rFonts w:cs="Times New Roman"/>
        </w:rPr>
        <w:t>6——声光预警装置；</w:t>
      </w:r>
      <w:r>
        <w:rPr>
          <w:rFonts w:cs="Times New Roman"/>
        </w:rPr>
        <w:tab/>
      </w:r>
      <w:r>
        <w:rPr>
          <w:rFonts w:cs="Times New Roman"/>
        </w:rPr>
        <w:t>7——VHF预警设备。</w:t>
      </w:r>
    </w:p>
    <w:p w14:paraId="003B2E4A">
      <w:pPr>
        <w:pStyle w:val="171"/>
      </w:pPr>
      <w:r>
        <w:rPr>
          <w:rFonts w:hint="eastAsia"/>
        </w:rPr>
        <w:t>图A.7 钻井平台测点布设示意图</w:t>
      </w:r>
    </w:p>
    <w:p w14:paraId="27F06E14">
      <w:pPr>
        <w:pStyle w:val="171"/>
      </w:pPr>
    </w:p>
    <w:p w14:paraId="796B6A07">
      <w:pPr>
        <w:pStyle w:val="171"/>
      </w:pPr>
      <w:r>
        <w:drawing>
          <wp:inline distT="0" distB="0" distL="0" distR="0">
            <wp:extent cx="5191760" cy="26727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6" cstate="print">
                      <a:extLst>
                        <a:ext uri="{28A0092B-C50C-407E-A947-70E740481C1C}">
                          <a14:useLocalDpi xmlns:a14="http://schemas.microsoft.com/office/drawing/2010/main" val="0"/>
                        </a:ext>
                      </a:extLst>
                    </a:blip>
                    <a:srcRect t="8084" b="9815"/>
                    <a:stretch>
                      <a:fillRect/>
                    </a:stretch>
                  </pic:blipFill>
                  <pic:spPr>
                    <a:xfrm>
                      <a:off x="0" y="0"/>
                      <a:ext cx="5193058" cy="2673452"/>
                    </a:xfrm>
                    <a:prstGeom prst="rect">
                      <a:avLst/>
                    </a:prstGeom>
                    <a:noFill/>
                    <a:ln>
                      <a:noFill/>
                    </a:ln>
                  </pic:spPr>
                </pic:pic>
              </a:graphicData>
            </a:graphic>
          </wp:inline>
        </w:drawing>
      </w:r>
    </w:p>
    <w:p w14:paraId="28CF81A3">
      <w:pPr>
        <w:pStyle w:val="170"/>
      </w:pPr>
      <w:r>
        <w:rPr>
          <w:rFonts w:hint="eastAsia"/>
        </w:rPr>
        <w:t>标引序号说明：</w:t>
      </w:r>
    </w:p>
    <w:p w14:paraId="3BAD0C14">
      <w:pPr>
        <w:pStyle w:val="170"/>
        <w:rPr>
          <w:rFonts w:cs="Times New Roman"/>
        </w:rPr>
      </w:pPr>
      <w:r>
        <w:rPr>
          <w:rFonts w:cs="Times New Roman"/>
        </w:rPr>
        <w:t>1——云台摄像机；</w:t>
      </w:r>
      <w:r>
        <w:rPr>
          <w:rFonts w:cs="Times New Roman"/>
        </w:rPr>
        <w:tab/>
      </w:r>
      <w:r>
        <w:rPr>
          <w:rFonts w:cs="Times New Roman"/>
        </w:rPr>
        <w:t>2——枪型摄像机；</w:t>
      </w:r>
      <w:r>
        <w:rPr>
          <w:rFonts w:cs="Times New Roman"/>
        </w:rPr>
        <w:tab/>
      </w:r>
      <w:r>
        <w:rPr>
          <w:rFonts w:cs="Times New Roman"/>
        </w:rPr>
        <w:t>3——微波雷达；</w:t>
      </w:r>
      <w:r>
        <w:rPr>
          <w:rFonts w:cs="Times New Roman"/>
        </w:rPr>
        <w:tab/>
      </w:r>
      <w:r>
        <w:rPr>
          <w:rFonts w:cs="Times New Roman"/>
        </w:rPr>
        <w:tab/>
      </w:r>
      <w:r>
        <w:rPr>
          <w:rFonts w:cs="Times New Roman"/>
        </w:rPr>
        <w:tab/>
      </w:r>
      <w:r>
        <w:rPr>
          <w:rFonts w:cs="Times New Roman"/>
        </w:rPr>
        <w:t>4——AIS；</w:t>
      </w:r>
    </w:p>
    <w:p w14:paraId="78B52824">
      <w:pPr>
        <w:pStyle w:val="170"/>
        <w:rPr>
          <w:rFonts w:cs="Times New Roman"/>
        </w:rPr>
      </w:pPr>
      <w:r>
        <w:rPr>
          <w:rFonts w:cs="Times New Roman"/>
        </w:rPr>
        <w:t>5——三维激光雷达；</w:t>
      </w:r>
      <w:r>
        <w:rPr>
          <w:rFonts w:cs="Times New Roman"/>
        </w:rPr>
        <w:tab/>
      </w:r>
      <w:r>
        <w:rPr>
          <w:rFonts w:cs="Times New Roman"/>
        </w:rPr>
        <w:t>6——声光预警装置；</w:t>
      </w:r>
      <w:r>
        <w:rPr>
          <w:rFonts w:cs="Times New Roman"/>
        </w:rPr>
        <w:tab/>
      </w:r>
      <w:r>
        <w:rPr>
          <w:rFonts w:cs="Times New Roman"/>
        </w:rPr>
        <w:t>7——VHF预警设备。</w:t>
      </w:r>
    </w:p>
    <w:p w14:paraId="58D1D4DA">
      <w:pPr>
        <w:pStyle w:val="171"/>
      </w:pPr>
      <w:r>
        <w:rPr>
          <w:rFonts w:hint="eastAsia"/>
        </w:rPr>
        <w:t>图A.8 海上风电场测点布设示意图</w:t>
      </w:r>
    </w:p>
    <w:p w14:paraId="04DF9F11">
      <w:pPr>
        <w:pStyle w:val="171"/>
      </w:pPr>
      <w:r>
        <w:drawing>
          <wp:inline distT="0" distB="0" distL="0" distR="0">
            <wp:extent cx="3870325" cy="3233420"/>
            <wp:effectExtent l="0" t="0" r="0" b="5080"/>
            <wp:docPr id="2" name="图片 2" descr="图示, 工程绘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 工程绘图&#10;&#10;AI 生成的内容可能不正确。"/>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06956" cy="3264150"/>
                    </a:xfrm>
                    <a:prstGeom prst="rect">
                      <a:avLst/>
                    </a:prstGeom>
                  </pic:spPr>
                </pic:pic>
              </a:graphicData>
            </a:graphic>
          </wp:inline>
        </w:drawing>
      </w:r>
    </w:p>
    <w:p w14:paraId="11E609EC">
      <w:pPr>
        <w:pStyle w:val="170"/>
      </w:pPr>
      <w:r>
        <w:rPr>
          <w:rFonts w:hint="eastAsia"/>
        </w:rPr>
        <w:t>标引序号说明：</w:t>
      </w:r>
    </w:p>
    <w:p w14:paraId="411765CC">
      <w:pPr>
        <w:pStyle w:val="170"/>
        <w:rPr>
          <w:rFonts w:cs="Times New Roman"/>
        </w:rPr>
      </w:pPr>
      <w:r>
        <w:rPr>
          <w:rFonts w:cs="Times New Roman"/>
        </w:rPr>
        <w:t>1——云台摄像机；</w:t>
      </w:r>
      <w:r>
        <w:rPr>
          <w:rFonts w:cs="Times New Roman"/>
        </w:rPr>
        <w:tab/>
      </w:r>
      <w:r>
        <w:rPr>
          <w:rFonts w:cs="Times New Roman"/>
        </w:rPr>
        <w:t>2——枪型摄像机；</w:t>
      </w:r>
      <w:r>
        <w:rPr>
          <w:rFonts w:cs="Times New Roman"/>
        </w:rPr>
        <w:tab/>
      </w:r>
      <w:r>
        <w:rPr>
          <w:rFonts w:cs="Times New Roman"/>
        </w:rPr>
        <w:t>3——微波雷达；</w:t>
      </w:r>
      <w:r>
        <w:rPr>
          <w:rFonts w:cs="Times New Roman"/>
        </w:rPr>
        <w:tab/>
      </w:r>
      <w:r>
        <w:rPr>
          <w:rFonts w:cs="Times New Roman"/>
        </w:rPr>
        <w:tab/>
      </w:r>
      <w:r>
        <w:rPr>
          <w:rFonts w:cs="Times New Roman"/>
        </w:rPr>
        <w:tab/>
      </w:r>
      <w:r>
        <w:rPr>
          <w:rFonts w:cs="Times New Roman"/>
        </w:rPr>
        <w:t>4——AIS；</w:t>
      </w:r>
    </w:p>
    <w:p w14:paraId="39A90C64">
      <w:pPr>
        <w:pStyle w:val="170"/>
        <w:rPr>
          <w:rFonts w:cs="Times New Roman"/>
        </w:rPr>
      </w:pPr>
      <w:r>
        <w:rPr>
          <w:rFonts w:cs="Times New Roman"/>
        </w:rPr>
        <w:t>5——三维激光雷达；</w:t>
      </w:r>
      <w:r>
        <w:rPr>
          <w:rFonts w:cs="Times New Roman"/>
        </w:rPr>
        <w:tab/>
      </w:r>
      <w:r>
        <w:rPr>
          <w:rFonts w:cs="Times New Roman"/>
        </w:rPr>
        <w:t>6——声光预警装置；</w:t>
      </w:r>
      <w:r>
        <w:rPr>
          <w:rFonts w:cs="Times New Roman"/>
        </w:rPr>
        <w:tab/>
      </w:r>
      <w:r>
        <w:rPr>
          <w:rFonts w:cs="Times New Roman"/>
        </w:rPr>
        <w:t>7——VHF预警设备。</w:t>
      </w:r>
    </w:p>
    <w:p w14:paraId="254D2488">
      <w:pPr>
        <w:pStyle w:val="171"/>
      </w:pPr>
      <w:r>
        <w:rPr>
          <w:rFonts w:hint="eastAsia"/>
        </w:rPr>
        <w:t>图A.9 码头测点布设示意图</w:t>
      </w:r>
    </w:p>
    <w:p w14:paraId="1B7F44D5">
      <w:pPr>
        <w:pStyle w:val="170"/>
      </w:pPr>
    </w:p>
    <w:p w14:paraId="7C806788">
      <w:pPr>
        <w:pStyle w:val="171"/>
      </w:pPr>
      <w:r>
        <w:drawing>
          <wp:inline distT="0" distB="0" distL="0" distR="0">
            <wp:extent cx="4977130" cy="26416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77130" cy="2641600"/>
                    </a:xfrm>
                    <a:prstGeom prst="rect">
                      <a:avLst/>
                    </a:prstGeom>
                    <a:noFill/>
                    <a:ln>
                      <a:noFill/>
                    </a:ln>
                  </pic:spPr>
                </pic:pic>
              </a:graphicData>
            </a:graphic>
          </wp:inline>
        </w:drawing>
      </w:r>
    </w:p>
    <w:p w14:paraId="501073CC">
      <w:pPr>
        <w:pStyle w:val="170"/>
      </w:pPr>
      <w:r>
        <w:rPr>
          <w:rFonts w:hint="eastAsia"/>
        </w:rPr>
        <w:t>标引序号说明：</w:t>
      </w:r>
    </w:p>
    <w:p w14:paraId="22372996">
      <w:pPr>
        <w:pStyle w:val="170"/>
        <w:rPr>
          <w:rFonts w:cs="Times New Roman"/>
        </w:rPr>
      </w:pPr>
      <w:r>
        <w:rPr>
          <w:rFonts w:cs="Times New Roman"/>
        </w:rPr>
        <w:t>1——云台摄像机；</w:t>
      </w:r>
      <w:r>
        <w:rPr>
          <w:rFonts w:cs="Times New Roman"/>
        </w:rPr>
        <w:tab/>
      </w:r>
      <w:r>
        <w:rPr>
          <w:rFonts w:cs="Times New Roman"/>
        </w:rPr>
        <w:t>2——枪型摄像机；</w:t>
      </w:r>
      <w:r>
        <w:rPr>
          <w:rFonts w:cs="Times New Roman"/>
        </w:rPr>
        <w:tab/>
      </w:r>
      <w:r>
        <w:rPr>
          <w:rFonts w:cs="Times New Roman"/>
        </w:rPr>
        <w:t>3——微波雷达；</w:t>
      </w:r>
      <w:r>
        <w:rPr>
          <w:rFonts w:cs="Times New Roman"/>
        </w:rPr>
        <w:tab/>
      </w:r>
      <w:r>
        <w:rPr>
          <w:rFonts w:cs="Times New Roman"/>
        </w:rPr>
        <w:tab/>
      </w:r>
      <w:r>
        <w:rPr>
          <w:rFonts w:cs="Times New Roman"/>
        </w:rPr>
        <w:tab/>
      </w:r>
      <w:r>
        <w:rPr>
          <w:rFonts w:cs="Times New Roman"/>
        </w:rPr>
        <w:t>4——AIS；</w:t>
      </w:r>
    </w:p>
    <w:p w14:paraId="4E458315">
      <w:pPr>
        <w:pStyle w:val="170"/>
        <w:rPr>
          <w:rFonts w:cs="Times New Roman"/>
        </w:rPr>
      </w:pPr>
      <w:r>
        <w:rPr>
          <w:rFonts w:cs="Times New Roman"/>
        </w:rPr>
        <w:t>5——三维激光雷达；</w:t>
      </w:r>
      <w:r>
        <w:rPr>
          <w:rFonts w:cs="Times New Roman"/>
        </w:rPr>
        <w:tab/>
      </w:r>
      <w:r>
        <w:rPr>
          <w:rFonts w:cs="Times New Roman"/>
        </w:rPr>
        <w:t>6——声光预警装置；</w:t>
      </w:r>
      <w:r>
        <w:rPr>
          <w:rFonts w:cs="Times New Roman"/>
        </w:rPr>
        <w:tab/>
      </w:r>
      <w:r>
        <w:rPr>
          <w:rFonts w:cs="Times New Roman"/>
        </w:rPr>
        <w:t>7——VHF预警设备。</w:t>
      </w:r>
    </w:p>
    <w:p w14:paraId="3C3436AC">
      <w:pPr>
        <w:pStyle w:val="171"/>
      </w:pPr>
      <w:r>
        <w:rPr>
          <w:rFonts w:hint="eastAsia"/>
        </w:rPr>
        <w:t>图A.10 码头测点布设俯视图</w:t>
      </w:r>
    </w:p>
    <w:p w14:paraId="0BE526C3">
      <w:pPr>
        <w:pStyle w:val="170"/>
      </w:pPr>
      <w:bookmarkStart w:id="70" w:name="_Toc435778404"/>
      <w:r>
        <w:br w:type="page"/>
      </w:r>
    </w:p>
    <w:p w14:paraId="557DF0A0">
      <w:pPr>
        <w:pStyle w:val="169"/>
      </w:pPr>
      <w:bookmarkStart w:id="71" w:name="_Toc221528776"/>
      <w:bookmarkStart w:id="72" w:name="_Toc221528705"/>
      <w:r>
        <w:rPr>
          <w:rFonts w:hint="eastAsia"/>
        </w:rPr>
        <w:t>附录</w:t>
      </w:r>
      <w:r>
        <w:rPr>
          <w:rFonts w:hint="eastAsia"/>
          <w:lang w:eastAsia="zh-CN"/>
        </w:rPr>
        <w:t>B</w:t>
      </w:r>
      <w:r>
        <w:rPr>
          <w:lang w:eastAsia="zh-CN"/>
        </w:rPr>
        <w:br w:type="textWrapping"/>
      </w:r>
      <w:r>
        <w:rPr>
          <w:rFonts w:hint="eastAsia"/>
        </w:rPr>
        <w:t>（资料性）</w:t>
      </w:r>
      <w:r>
        <w:rPr>
          <w:lang w:eastAsia="zh-CN"/>
        </w:rPr>
        <w:br w:type="textWrapping"/>
      </w:r>
      <w:r>
        <w:rPr>
          <w:rFonts w:hint="eastAsia"/>
        </w:rPr>
        <w:t>预警分区示意图</w:t>
      </w:r>
      <w:bookmarkEnd w:id="71"/>
      <w:bookmarkEnd w:id="72"/>
    </w:p>
    <w:p w14:paraId="4BA44A94">
      <w:pPr>
        <w:pStyle w:val="170"/>
        <w:rPr>
          <w:bCs/>
        </w:rPr>
      </w:pPr>
      <w:r>
        <w:rPr>
          <w:rFonts w:hint="eastAsia"/>
          <w:b/>
          <w:bCs/>
        </w:rPr>
        <w:t>B.0.1</w:t>
      </w:r>
      <w:r>
        <w:rPr>
          <w:rFonts w:hint="eastAsia"/>
        </w:rPr>
        <w:t>　桥梁预警分区示意图如图</w:t>
      </w:r>
      <w:r>
        <w:rPr>
          <w:rFonts w:hint="eastAsia"/>
          <w:bCs/>
        </w:rPr>
        <w:t>B.1所示。</w:t>
      </w:r>
    </w:p>
    <w:p w14:paraId="09F83365">
      <w:pPr>
        <w:pStyle w:val="170"/>
        <w:rPr>
          <w:b/>
        </w:rPr>
      </w:pPr>
    </w:p>
    <w:p w14:paraId="1CCA204E">
      <w:pPr>
        <w:pStyle w:val="171"/>
      </w:pPr>
      <w:r>
        <w:drawing>
          <wp:inline distT="0" distB="0" distL="0" distR="0">
            <wp:extent cx="3750945" cy="4394835"/>
            <wp:effectExtent l="0" t="0" r="1905" b="571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50945" cy="4394835"/>
                    </a:xfrm>
                    <a:prstGeom prst="rect">
                      <a:avLst/>
                    </a:prstGeom>
                    <a:noFill/>
                    <a:ln>
                      <a:noFill/>
                    </a:ln>
                  </pic:spPr>
                </pic:pic>
              </a:graphicData>
            </a:graphic>
          </wp:inline>
        </w:drawing>
      </w:r>
    </w:p>
    <w:p w14:paraId="11461187">
      <w:pPr>
        <w:pStyle w:val="171"/>
      </w:pPr>
      <w:r>
        <w:rPr>
          <w:rFonts w:hint="eastAsia"/>
        </w:rPr>
        <w:t>图B.1 桥梁预警分区示意图</w:t>
      </w:r>
    </w:p>
    <w:p w14:paraId="20C3E32D">
      <w:pPr>
        <w:pStyle w:val="171"/>
      </w:pPr>
    </w:p>
    <w:p w14:paraId="0E26A19F">
      <w:pPr>
        <w:pStyle w:val="171"/>
      </w:pPr>
    </w:p>
    <w:p w14:paraId="26BE257E">
      <w:pPr>
        <w:pStyle w:val="171"/>
      </w:pPr>
    </w:p>
    <w:p w14:paraId="1F156E64">
      <w:pPr>
        <w:pStyle w:val="171"/>
      </w:pPr>
    </w:p>
    <w:p w14:paraId="60E96BB5">
      <w:pPr>
        <w:pStyle w:val="171"/>
      </w:pPr>
    </w:p>
    <w:p w14:paraId="299DBCFA">
      <w:pPr>
        <w:pStyle w:val="171"/>
      </w:pPr>
    </w:p>
    <w:p w14:paraId="55C175CB">
      <w:pPr>
        <w:pStyle w:val="171"/>
      </w:pPr>
    </w:p>
    <w:p w14:paraId="5C395950">
      <w:pPr>
        <w:pStyle w:val="171"/>
      </w:pPr>
    </w:p>
    <w:p w14:paraId="4DBFE008">
      <w:pPr>
        <w:pStyle w:val="171"/>
      </w:pPr>
    </w:p>
    <w:p w14:paraId="69373192">
      <w:pPr>
        <w:pStyle w:val="170"/>
        <w:rPr>
          <w:b/>
        </w:rPr>
      </w:pPr>
      <w:r>
        <w:rPr>
          <w:rFonts w:hint="eastAsia"/>
          <w:b/>
        </w:rPr>
        <w:t>B.0.2　</w:t>
      </w:r>
      <w:r>
        <w:rPr>
          <w:rFonts w:hint="eastAsia"/>
        </w:rPr>
        <w:t>水上房屋预警分区示意图如图B.2所示。</w:t>
      </w:r>
    </w:p>
    <w:p w14:paraId="481B1C91">
      <w:pPr>
        <w:pStyle w:val="171"/>
      </w:pPr>
      <w:r>
        <w:drawing>
          <wp:inline distT="0" distB="0" distL="0" distR="0">
            <wp:extent cx="4715510" cy="3096260"/>
            <wp:effectExtent l="0" t="0" r="889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715510" cy="3096260"/>
                    </a:xfrm>
                    <a:prstGeom prst="rect">
                      <a:avLst/>
                    </a:prstGeom>
                    <a:noFill/>
                    <a:ln>
                      <a:noFill/>
                    </a:ln>
                  </pic:spPr>
                </pic:pic>
              </a:graphicData>
            </a:graphic>
          </wp:inline>
        </w:drawing>
      </w:r>
    </w:p>
    <w:p w14:paraId="5323CD2D">
      <w:pPr>
        <w:pStyle w:val="171"/>
      </w:pPr>
      <w:r>
        <w:rPr>
          <w:rFonts w:hint="eastAsia"/>
        </w:rPr>
        <w:t>图B.2 水上房屋预警分区示意图</w:t>
      </w:r>
    </w:p>
    <w:p w14:paraId="4BF54762">
      <w:pPr>
        <w:pStyle w:val="171"/>
      </w:pPr>
    </w:p>
    <w:p w14:paraId="3F6842B6">
      <w:pPr>
        <w:pStyle w:val="171"/>
      </w:pPr>
    </w:p>
    <w:p w14:paraId="6B708F22">
      <w:pPr>
        <w:pStyle w:val="171"/>
      </w:pPr>
    </w:p>
    <w:p w14:paraId="0514F421">
      <w:pPr>
        <w:pStyle w:val="170"/>
      </w:pPr>
      <w:r>
        <w:rPr>
          <w:rFonts w:hint="eastAsia"/>
          <w:b/>
        </w:rPr>
        <w:t>B.0.3　</w:t>
      </w:r>
      <w:r>
        <w:rPr>
          <w:rFonts w:hint="eastAsia"/>
        </w:rPr>
        <w:t>水上钻井平台预警分区示意图如图B.3所示。</w:t>
      </w:r>
    </w:p>
    <w:p w14:paraId="1F8323C5">
      <w:pPr>
        <w:pStyle w:val="171"/>
      </w:pPr>
      <w:r>
        <w:drawing>
          <wp:inline distT="0" distB="0" distL="0" distR="0">
            <wp:extent cx="4572635" cy="36582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572635" cy="3658235"/>
                    </a:xfrm>
                    <a:prstGeom prst="rect">
                      <a:avLst/>
                    </a:prstGeom>
                    <a:noFill/>
                    <a:ln>
                      <a:noFill/>
                    </a:ln>
                  </pic:spPr>
                </pic:pic>
              </a:graphicData>
            </a:graphic>
          </wp:inline>
        </w:drawing>
      </w:r>
    </w:p>
    <w:p w14:paraId="0500100A">
      <w:pPr>
        <w:pStyle w:val="171"/>
      </w:pPr>
      <w:r>
        <w:rPr>
          <w:rFonts w:hint="eastAsia"/>
        </w:rPr>
        <w:t>图B.3 水上钻井平台预警分区示意图</w:t>
      </w:r>
    </w:p>
    <w:p w14:paraId="4C38F4DE">
      <w:pPr>
        <w:pStyle w:val="170"/>
      </w:pPr>
      <w:r>
        <w:rPr>
          <w:rFonts w:hint="eastAsia"/>
          <w:b/>
        </w:rPr>
        <w:t>B.0.4　</w:t>
      </w:r>
      <w:r>
        <w:rPr>
          <w:rFonts w:hint="eastAsia"/>
        </w:rPr>
        <w:t>海上风电场预警分区示意图如图B.4所示。</w:t>
      </w:r>
    </w:p>
    <w:p w14:paraId="4349DA29">
      <w:pPr>
        <w:pStyle w:val="171"/>
      </w:pPr>
      <w:r>
        <w:drawing>
          <wp:inline distT="0" distB="0" distL="0" distR="0">
            <wp:extent cx="4001135" cy="32004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01135" cy="3200908"/>
                    </a:xfrm>
                    <a:prstGeom prst="rect">
                      <a:avLst/>
                    </a:prstGeom>
                    <a:noFill/>
                    <a:ln>
                      <a:noFill/>
                    </a:ln>
                  </pic:spPr>
                </pic:pic>
              </a:graphicData>
            </a:graphic>
          </wp:inline>
        </w:drawing>
      </w:r>
    </w:p>
    <w:p w14:paraId="75A7C3D2">
      <w:pPr>
        <w:pStyle w:val="171"/>
      </w:pPr>
      <w:r>
        <w:rPr>
          <w:rFonts w:hint="eastAsia"/>
        </w:rPr>
        <w:t>图B.4 海上风电场预警分区示意图</w:t>
      </w:r>
    </w:p>
    <w:p w14:paraId="40104A66">
      <w:pPr>
        <w:pStyle w:val="170"/>
      </w:pPr>
      <w:r>
        <w:rPr>
          <w:rFonts w:hint="eastAsia"/>
          <w:b/>
        </w:rPr>
        <w:t>B.0.5　</w:t>
      </w:r>
      <w:r>
        <w:rPr>
          <w:rFonts w:hint="eastAsia"/>
        </w:rPr>
        <w:t>码头预警分区示意图如图B.5所示。</w:t>
      </w:r>
    </w:p>
    <w:p w14:paraId="68ECC470">
      <w:pPr>
        <w:pStyle w:val="170"/>
      </w:pPr>
    </w:p>
    <w:p w14:paraId="25255282">
      <w:pPr>
        <w:pStyle w:val="171"/>
      </w:pPr>
      <w:r>
        <w:drawing>
          <wp:inline distT="0" distB="0" distL="0" distR="0">
            <wp:extent cx="4464685" cy="35712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64743" cy="3571794"/>
                    </a:xfrm>
                    <a:prstGeom prst="rect">
                      <a:avLst/>
                    </a:prstGeom>
                    <a:noFill/>
                    <a:ln>
                      <a:noFill/>
                    </a:ln>
                  </pic:spPr>
                </pic:pic>
              </a:graphicData>
            </a:graphic>
          </wp:inline>
        </w:drawing>
      </w:r>
    </w:p>
    <w:p w14:paraId="4C02EF50">
      <w:pPr>
        <w:pStyle w:val="171"/>
      </w:pPr>
      <w:r>
        <w:rPr>
          <w:rFonts w:hint="eastAsia"/>
        </w:rPr>
        <w:t>图B.5 码头预警分区示意图</w:t>
      </w:r>
    </w:p>
    <w:p w14:paraId="27A3BC1C">
      <w:pPr>
        <w:pStyle w:val="170"/>
        <w:rPr>
          <w:b/>
        </w:rPr>
      </w:pPr>
      <w:r>
        <w:rPr>
          <w:b/>
        </w:rPr>
        <w:br w:type="page"/>
      </w:r>
    </w:p>
    <w:p w14:paraId="77F12662">
      <w:pPr>
        <w:pStyle w:val="169"/>
      </w:pPr>
      <w:bookmarkStart w:id="73" w:name="_Toc221528706"/>
      <w:bookmarkStart w:id="74" w:name="_Toc221528777"/>
      <w:r>
        <w:rPr>
          <w:rFonts w:hint="eastAsia"/>
        </w:rPr>
        <w:t>附录C</w:t>
      </w:r>
      <w:r>
        <w:br w:type="textWrapping"/>
      </w:r>
      <w:r>
        <w:rPr>
          <w:rFonts w:hint="eastAsia"/>
        </w:rPr>
        <w:t>（规范性）</w:t>
      </w:r>
      <w:r>
        <w:rPr>
          <w:lang w:eastAsia="zh-CN"/>
        </w:rPr>
        <w:br w:type="textWrapping"/>
      </w:r>
      <w:r>
        <w:rPr>
          <w:rFonts w:hint="eastAsia"/>
        </w:rPr>
        <w:t>监测数据表示形式常用表</w:t>
      </w:r>
      <w:bookmarkEnd w:id="73"/>
      <w:bookmarkEnd w:id="74"/>
    </w:p>
    <w:p w14:paraId="11E6F4FF">
      <w:pPr>
        <w:pStyle w:val="170"/>
      </w:pPr>
      <w:r>
        <w:rPr>
          <w:rFonts w:hint="eastAsia"/>
          <w:b/>
        </w:rPr>
        <w:t>C.0.1　</w:t>
      </w:r>
      <w:r>
        <w:rPr>
          <w:rFonts w:hint="eastAsia"/>
        </w:rPr>
        <w:t>水上构筑物标识码应符合表C.1的规定。</w:t>
      </w:r>
    </w:p>
    <w:p w14:paraId="224D5322">
      <w:pPr>
        <w:pStyle w:val="171"/>
        <w:rPr>
          <w:shd w:val="clear" w:color="FFFFFF" w:fill="D9D9D9"/>
        </w:rPr>
      </w:pPr>
      <w:r>
        <w:rPr>
          <w:rFonts w:hint="eastAsia"/>
        </w:rPr>
        <w:t>表C.1  水上构筑物标识码表</w:t>
      </w:r>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61"/>
        <w:gridCol w:w="2461"/>
      </w:tblGrid>
      <w:tr w14:paraId="1E6F80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61" w:type="dxa"/>
            <w:vAlign w:val="center"/>
          </w:tcPr>
          <w:p w14:paraId="718880C2">
            <w:pPr>
              <w:pStyle w:val="168"/>
              <w:rPr>
                <w:sz w:val="21"/>
                <w:szCs w:val="21"/>
              </w:rPr>
            </w:pPr>
            <w:r>
              <w:rPr>
                <w:sz w:val="21"/>
                <w:szCs w:val="21"/>
              </w:rPr>
              <w:t>水上构筑物类别</w:t>
            </w:r>
          </w:p>
        </w:tc>
        <w:tc>
          <w:tcPr>
            <w:tcW w:w="2461" w:type="dxa"/>
            <w:vAlign w:val="center"/>
          </w:tcPr>
          <w:p w14:paraId="1CC075AF">
            <w:pPr>
              <w:pStyle w:val="168"/>
              <w:rPr>
                <w:sz w:val="21"/>
                <w:szCs w:val="21"/>
              </w:rPr>
            </w:pPr>
            <w:r>
              <w:rPr>
                <w:sz w:val="21"/>
                <w:szCs w:val="21"/>
              </w:rPr>
              <w:t>标识码</w:t>
            </w:r>
          </w:p>
        </w:tc>
      </w:tr>
      <w:tr w14:paraId="0C2A7C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61" w:type="dxa"/>
            <w:vAlign w:val="center"/>
          </w:tcPr>
          <w:p w14:paraId="36B219CE">
            <w:pPr>
              <w:pStyle w:val="168"/>
              <w:rPr>
                <w:sz w:val="21"/>
                <w:szCs w:val="21"/>
              </w:rPr>
            </w:pPr>
            <w:r>
              <w:rPr>
                <w:sz w:val="21"/>
                <w:szCs w:val="21"/>
              </w:rPr>
              <w:t>桥梁</w:t>
            </w:r>
          </w:p>
        </w:tc>
        <w:tc>
          <w:tcPr>
            <w:tcW w:w="2461" w:type="dxa"/>
            <w:vAlign w:val="center"/>
          </w:tcPr>
          <w:p w14:paraId="6994CA87">
            <w:pPr>
              <w:pStyle w:val="168"/>
              <w:rPr>
                <w:sz w:val="21"/>
                <w:szCs w:val="21"/>
              </w:rPr>
            </w:pPr>
            <w:r>
              <w:rPr>
                <w:sz w:val="21"/>
                <w:szCs w:val="21"/>
              </w:rPr>
              <w:t>QL</w:t>
            </w:r>
          </w:p>
        </w:tc>
      </w:tr>
      <w:tr w14:paraId="5F4D7E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61" w:type="dxa"/>
            <w:vAlign w:val="center"/>
          </w:tcPr>
          <w:p w14:paraId="5508634C">
            <w:pPr>
              <w:pStyle w:val="168"/>
              <w:rPr>
                <w:sz w:val="21"/>
                <w:szCs w:val="21"/>
              </w:rPr>
            </w:pPr>
            <w:r>
              <w:rPr>
                <w:sz w:val="21"/>
                <w:szCs w:val="21"/>
              </w:rPr>
              <w:t>水上房屋</w:t>
            </w:r>
          </w:p>
        </w:tc>
        <w:tc>
          <w:tcPr>
            <w:tcW w:w="2461" w:type="dxa"/>
            <w:vAlign w:val="center"/>
          </w:tcPr>
          <w:p w14:paraId="3DD63F77">
            <w:pPr>
              <w:pStyle w:val="168"/>
              <w:rPr>
                <w:sz w:val="21"/>
                <w:szCs w:val="21"/>
              </w:rPr>
            </w:pPr>
            <w:r>
              <w:rPr>
                <w:sz w:val="21"/>
                <w:szCs w:val="21"/>
              </w:rPr>
              <w:t>FW</w:t>
            </w:r>
          </w:p>
        </w:tc>
      </w:tr>
      <w:tr w14:paraId="298B1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61" w:type="dxa"/>
          </w:tcPr>
          <w:p w14:paraId="3AF87018">
            <w:pPr>
              <w:pStyle w:val="168"/>
              <w:rPr>
                <w:sz w:val="21"/>
                <w:szCs w:val="21"/>
              </w:rPr>
            </w:pPr>
            <w:r>
              <w:rPr>
                <w:sz w:val="21"/>
                <w:szCs w:val="21"/>
              </w:rPr>
              <w:t>钻井平台</w:t>
            </w:r>
          </w:p>
        </w:tc>
        <w:tc>
          <w:tcPr>
            <w:tcW w:w="2461" w:type="dxa"/>
          </w:tcPr>
          <w:p w14:paraId="67F127A7">
            <w:pPr>
              <w:pStyle w:val="168"/>
              <w:rPr>
                <w:sz w:val="21"/>
                <w:szCs w:val="21"/>
              </w:rPr>
            </w:pPr>
            <w:r>
              <w:rPr>
                <w:sz w:val="21"/>
                <w:szCs w:val="21"/>
              </w:rPr>
              <w:t>PT</w:t>
            </w:r>
          </w:p>
        </w:tc>
      </w:tr>
      <w:tr w14:paraId="453243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61" w:type="dxa"/>
          </w:tcPr>
          <w:p w14:paraId="571162B7">
            <w:pPr>
              <w:pStyle w:val="168"/>
              <w:rPr>
                <w:sz w:val="21"/>
                <w:szCs w:val="21"/>
              </w:rPr>
            </w:pPr>
            <w:r>
              <w:rPr>
                <w:sz w:val="21"/>
                <w:szCs w:val="21"/>
              </w:rPr>
              <w:t>海上风电场</w:t>
            </w:r>
          </w:p>
        </w:tc>
        <w:tc>
          <w:tcPr>
            <w:tcW w:w="2461" w:type="dxa"/>
          </w:tcPr>
          <w:p w14:paraId="5104EE2E">
            <w:pPr>
              <w:pStyle w:val="168"/>
              <w:rPr>
                <w:sz w:val="21"/>
                <w:szCs w:val="21"/>
              </w:rPr>
            </w:pPr>
            <w:r>
              <w:rPr>
                <w:sz w:val="21"/>
                <w:szCs w:val="21"/>
              </w:rPr>
              <w:t>FD</w:t>
            </w:r>
          </w:p>
        </w:tc>
      </w:tr>
      <w:tr w14:paraId="690C12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61" w:type="dxa"/>
          </w:tcPr>
          <w:p w14:paraId="3455BD08">
            <w:pPr>
              <w:pStyle w:val="168"/>
              <w:rPr>
                <w:sz w:val="21"/>
                <w:szCs w:val="21"/>
              </w:rPr>
            </w:pPr>
            <w:r>
              <w:rPr>
                <w:sz w:val="21"/>
                <w:szCs w:val="21"/>
              </w:rPr>
              <w:t>码头</w:t>
            </w:r>
          </w:p>
        </w:tc>
        <w:tc>
          <w:tcPr>
            <w:tcW w:w="2461" w:type="dxa"/>
          </w:tcPr>
          <w:p w14:paraId="5841A2B6">
            <w:pPr>
              <w:pStyle w:val="168"/>
              <w:rPr>
                <w:sz w:val="21"/>
                <w:szCs w:val="21"/>
              </w:rPr>
            </w:pPr>
            <w:r>
              <w:rPr>
                <w:sz w:val="21"/>
                <w:szCs w:val="21"/>
              </w:rPr>
              <w:t>MT</w:t>
            </w:r>
          </w:p>
        </w:tc>
      </w:tr>
      <w:tr w14:paraId="09E3D8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61" w:type="dxa"/>
          </w:tcPr>
          <w:p w14:paraId="0F3E329D">
            <w:pPr>
              <w:pStyle w:val="168"/>
              <w:rPr>
                <w:sz w:val="21"/>
                <w:szCs w:val="21"/>
              </w:rPr>
            </w:pPr>
            <w:r>
              <w:rPr>
                <w:sz w:val="21"/>
                <w:szCs w:val="21"/>
              </w:rPr>
              <w:t>防撞设施</w:t>
            </w:r>
          </w:p>
        </w:tc>
        <w:tc>
          <w:tcPr>
            <w:tcW w:w="2461" w:type="dxa"/>
          </w:tcPr>
          <w:p w14:paraId="60286CD4">
            <w:pPr>
              <w:pStyle w:val="168"/>
              <w:rPr>
                <w:sz w:val="21"/>
                <w:szCs w:val="21"/>
              </w:rPr>
            </w:pPr>
            <w:r>
              <w:rPr>
                <w:sz w:val="21"/>
                <w:szCs w:val="21"/>
              </w:rPr>
              <w:t>FZ</w:t>
            </w:r>
          </w:p>
        </w:tc>
      </w:tr>
    </w:tbl>
    <w:p w14:paraId="694B7C9D">
      <w:pPr>
        <w:pStyle w:val="170"/>
      </w:pPr>
    </w:p>
    <w:p w14:paraId="4D4F672D">
      <w:pPr>
        <w:pStyle w:val="170"/>
      </w:pPr>
      <w:r>
        <w:rPr>
          <w:rFonts w:hint="eastAsia"/>
          <w:b/>
          <w:bCs/>
        </w:rPr>
        <w:t>C.0.2</w:t>
      </w:r>
      <w:r>
        <w:rPr>
          <w:rFonts w:hint="eastAsia"/>
        </w:rPr>
        <w:t>　监测类别编码应符合表C.2的规定。</w:t>
      </w:r>
    </w:p>
    <w:p w14:paraId="14B9370D">
      <w:pPr>
        <w:pStyle w:val="171"/>
      </w:pPr>
      <w:r>
        <w:rPr>
          <w:rFonts w:hint="eastAsia"/>
        </w:rPr>
        <w:t>表C.2  监测类别编码表</w:t>
      </w:r>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61"/>
        <w:gridCol w:w="2461"/>
      </w:tblGrid>
      <w:tr w14:paraId="52CA6A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61" w:type="dxa"/>
            <w:vAlign w:val="center"/>
          </w:tcPr>
          <w:p w14:paraId="4A8AE4C0">
            <w:pPr>
              <w:pStyle w:val="168"/>
              <w:rPr>
                <w:sz w:val="21"/>
                <w:szCs w:val="21"/>
              </w:rPr>
            </w:pPr>
            <w:r>
              <w:rPr>
                <w:sz w:val="21"/>
                <w:szCs w:val="21"/>
              </w:rPr>
              <w:t>监测类别</w:t>
            </w:r>
          </w:p>
        </w:tc>
        <w:tc>
          <w:tcPr>
            <w:tcW w:w="2461" w:type="dxa"/>
            <w:vAlign w:val="center"/>
          </w:tcPr>
          <w:p w14:paraId="4D7669EC">
            <w:pPr>
              <w:pStyle w:val="168"/>
              <w:rPr>
                <w:sz w:val="21"/>
                <w:szCs w:val="21"/>
              </w:rPr>
            </w:pPr>
            <w:r>
              <w:rPr>
                <w:sz w:val="21"/>
                <w:szCs w:val="21"/>
              </w:rPr>
              <w:t>编码</w:t>
            </w:r>
          </w:p>
        </w:tc>
      </w:tr>
      <w:tr w14:paraId="15DDE7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61" w:type="dxa"/>
            <w:vAlign w:val="center"/>
          </w:tcPr>
          <w:p w14:paraId="3A596D8A">
            <w:pPr>
              <w:pStyle w:val="168"/>
              <w:rPr>
                <w:sz w:val="21"/>
                <w:szCs w:val="21"/>
              </w:rPr>
            </w:pPr>
            <w:r>
              <w:rPr>
                <w:sz w:val="21"/>
                <w:szCs w:val="21"/>
              </w:rPr>
              <w:t>船舶超高</w:t>
            </w:r>
          </w:p>
        </w:tc>
        <w:tc>
          <w:tcPr>
            <w:tcW w:w="2461" w:type="dxa"/>
            <w:vAlign w:val="center"/>
          </w:tcPr>
          <w:p w14:paraId="13CC0B65">
            <w:pPr>
              <w:pStyle w:val="168"/>
              <w:rPr>
                <w:sz w:val="21"/>
                <w:szCs w:val="21"/>
              </w:rPr>
            </w:pPr>
            <w:r>
              <w:rPr>
                <w:sz w:val="21"/>
                <w:szCs w:val="21"/>
              </w:rPr>
              <w:t>VOH</w:t>
            </w:r>
          </w:p>
        </w:tc>
      </w:tr>
      <w:tr w14:paraId="69ED1E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61" w:type="dxa"/>
            <w:vAlign w:val="center"/>
          </w:tcPr>
          <w:p w14:paraId="7D0224DD">
            <w:pPr>
              <w:pStyle w:val="168"/>
              <w:rPr>
                <w:sz w:val="21"/>
                <w:szCs w:val="21"/>
              </w:rPr>
            </w:pPr>
            <w:r>
              <w:rPr>
                <w:sz w:val="21"/>
                <w:szCs w:val="21"/>
              </w:rPr>
              <w:t>船舶偏航</w:t>
            </w:r>
          </w:p>
        </w:tc>
        <w:tc>
          <w:tcPr>
            <w:tcW w:w="2461" w:type="dxa"/>
            <w:vAlign w:val="center"/>
          </w:tcPr>
          <w:p w14:paraId="564D2E11">
            <w:pPr>
              <w:pStyle w:val="168"/>
              <w:rPr>
                <w:sz w:val="21"/>
                <w:szCs w:val="21"/>
              </w:rPr>
            </w:pPr>
            <w:r>
              <w:rPr>
                <w:sz w:val="21"/>
                <w:szCs w:val="21"/>
              </w:rPr>
              <w:t>VOC</w:t>
            </w:r>
          </w:p>
        </w:tc>
      </w:tr>
      <w:tr w14:paraId="63B92E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61" w:type="dxa"/>
          </w:tcPr>
          <w:p w14:paraId="48C01278">
            <w:pPr>
              <w:pStyle w:val="168"/>
              <w:rPr>
                <w:sz w:val="21"/>
                <w:szCs w:val="21"/>
              </w:rPr>
            </w:pPr>
            <w:r>
              <w:rPr>
                <w:rFonts w:hint="eastAsia"/>
                <w:sz w:val="21"/>
                <w:szCs w:val="21"/>
              </w:rPr>
              <w:t>船舶航向</w:t>
            </w:r>
          </w:p>
        </w:tc>
        <w:tc>
          <w:tcPr>
            <w:tcW w:w="2461" w:type="dxa"/>
          </w:tcPr>
          <w:p w14:paraId="0B916415">
            <w:pPr>
              <w:pStyle w:val="168"/>
              <w:rPr>
                <w:sz w:val="21"/>
                <w:szCs w:val="21"/>
              </w:rPr>
            </w:pPr>
            <w:r>
              <w:rPr>
                <w:rFonts w:hint="eastAsia"/>
                <w:sz w:val="21"/>
                <w:szCs w:val="21"/>
              </w:rPr>
              <w:t>HDG</w:t>
            </w:r>
          </w:p>
        </w:tc>
      </w:tr>
      <w:tr w14:paraId="37BD0A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61" w:type="dxa"/>
          </w:tcPr>
          <w:p w14:paraId="524C133F">
            <w:pPr>
              <w:pStyle w:val="168"/>
              <w:rPr>
                <w:sz w:val="21"/>
                <w:szCs w:val="21"/>
              </w:rPr>
            </w:pPr>
            <w:r>
              <w:rPr>
                <w:sz w:val="21"/>
                <w:szCs w:val="21"/>
              </w:rPr>
              <w:t>船舶航速</w:t>
            </w:r>
          </w:p>
        </w:tc>
        <w:tc>
          <w:tcPr>
            <w:tcW w:w="2461" w:type="dxa"/>
          </w:tcPr>
          <w:p w14:paraId="4B8B3D57">
            <w:pPr>
              <w:pStyle w:val="168"/>
              <w:rPr>
                <w:sz w:val="21"/>
                <w:szCs w:val="21"/>
              </w:rPr>
            </w:pPr>
            <w:r>
              <w:rPr>
                <w:sz w:val="21"/>
                <w:szCs w:val="21"/>
              </w:rPr>
              <w:t>VSS</w:t>
            </w:r>
          </w:p>
        </w:tc>
      </w:tr>
      <w:tr w14:paraId="559C23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61" w:type="dxa"/>
          </w:tcPr>
          <w:p w14:paraId="6A3D06F7">
            <w:pPr>
              <w:pStyle w:val="168"/>
              <w:rPr>
                <w:sz w:val="21"/>
                <w:szCs w:val="21"/>
              </w:rPr>
            </w:pPr>
            <w:r>
              <w:rPr>
                <w:sz w:val="21"/>
                <w:szCs w:val="21"/>
              </w:rPr>
              <w:t>船舶航迹</w:t>
            </w:r>
          </w:p>
        </w:tc>
        <w:tc>
          <w:tcPr>
            <w:tcW w:w="2461" w:type="dxa"/>
          </w:tcPr>
          <w:p w14:paraId="424113A9">
            <w:pPr>
              <w:pStyle w:val="168"/>
              <w:rPr>
                <w:sz w:val="21"/>
                <w:szCs w:val="21"/>
              </w:rPr>
            </w:pPr>
            <w:r>
              <w:rPr>
                <w:sz w:val="21"/>
                <w:szCs w:val="21"/>
              </w:rPr>
              <w:t>VST</w:t>
            </w:r>
          </w:p>
        </w:tc>
      </w:tr>
      <w:tr w14:paraId="1A315A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61" w:type="dxa"/>
          </w:tcPr>
          <w:p w14:paraId="621418B2">
            <w:pPr>
              <w:pStyle w:val="168"/>
              <w:rPr>
                <w:sz w:val="21"/>
                <w:szCs w:val="21"/>
              </w:rPr>
            </w:pPr>
            <w:r>
              <w:rPr>
                <w:sz w:val="21"/>
                <w:szCs w:val="21"/>
              </w:rPr>
              <w:t>船舶静态参数</w:t>
            </w:r>
          </w:p>
        </w:tc>
        <w:tc>
          <w:tcPr>
            <w:tcW w:w="2461" w:type="dxa"/>
          </w:tcPr>
          <w:p w14:paraId="38045B5A">
            <w:pPr>
              <w:pStyle w:val="168"/>
              <w:rPr>
                <w:sz w:val="21"/>
                <w:szCs w:val="21"/>
              </w:rPr>
            </w:pPr>
            <w:r>
              <w:rPr>
                <w:sz w:val="21"/>
                <w:szCs w:val="21"/>
              </w:rPr>
              <w:t>VSP</w:t>
            </w:r>
          </w:p>
        </w:tc>
      </w:tr>
      <w:tr w14:paraId="317522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61" w:type="dxa"/>
          </w:tcPr>
          <w:p w14:paraId="72731D10">
            <w:pPr>
              <w:pStyle w:val="168"/>
              <w:rPr>
                <w:sz w:val="21"/>
                <w:szCs w:val="21"/>
              </w:rPr>
            </w:pPr>
            <w:r>
              <w:rPr>
                <w:rFonts w:hint="eastAsia"/>
                <w:sz w:val="21"/>
                <w:szCs w:val="21"/>
              </w:rPr>
              <w:t>船舶运行状态参数</w:t>
            </w:r>
          </w:p>
        </w:tc>
        <w:tc>
          <w:tcPr>
            <w:tcW w:w="2461" w:type="dxa"/>
          </w:tcPr>
          <w:p w14:paraId="452EDA2F">
            <w:pPr>
              <w:pStyle w:val="168"/>
              <w:rPr>
                <w:sz w:val="21"/>
                <w:szCs w:val="21"/>
              </w:rPr>
            </w:pPr>
            <w:r>
              <w:rPr>
                <w:rFonts w:hint="eastAsia"/>
                <w:sz w:val="21"/>
                <w:szCs w:val="21"/>
              </w:rPr>
              <w:t>VOS</w:t>
            </w:r>
          </w:p>
        </w:tc>
      </w:tr>
      <w:tr w14:paraId="10F27C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61" w:type="dxa"/>
          </w:tcPr>
          <w:p w14:paraId="75AC0D47">
            <w:pPr>
              <w:pStyle w:val="168"/>
              <w:rPr>
                <w:sz w:val="21"/>
                <w:szCs w:val="21"/>
              </w:rPr>
            </w:pPr>
            <w:r>
              <w:rPr>
                <w:sz w:val="21"/>
                <w:szCs w:val="21"/>
              </w:rPr>
              <w:t>水位监测</w:t>
            </w:r>
          </w:p>
        </w:tc>
        <w:tc>
          <w:tcPr>
            <w:tcW w:w="2461" w:type="dxa"/>
          </w:tcPr>
          <w:p w14:paraId="64865833">
            <w:pPr>
              <w:pStyle w:val="168"/>
              <w:rPr>
                <w:sz w:val="21"/>
                <w:szCs w:val="21"/>
              </w:rPr>
            </w:pPr>
            <w:r>
              <w:rPr>
                <w:sz w:val="21"/>
                <w:szCs w:val="21"/>
              </w:rPr>
              <w:t>WLM</w:t>
            </w:r>
          </w:p>
        </w:tc>
      </w:tr>
      <w:tr w14:paraId="23E74C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61" w:type="dxa"/>
          </w:tcPr>
          <w:p w14:paraId="41A53AF5">
            <w:pPr>
              <w:pStyle w:val="168"/>
              <w:rPr>
                <w:sz w:val="21"/>
                <w:szCs w:val="21"/>
              </w:rPr>
            </w:pPr>
            <w:r>
              <w:rPr>
                <w:sz w:val="21"/>
                <w:szCs w:val="21"/>
              </w:rPr>
              <w:t>流速监测</w:t>
            </w:r>
          </w:p>
        </w:tc>
        <w:tc>
          <w:tcPr>
            <w:tcW w:w="2461" w:type="dxa"/>
          </w:tcPr>
          <w:p w14:paraId="7AD3A17E">
            <w:pPr>
              <w:pStyle w:val="168"/>
              <w:rPr>
                <w:sz w:val="21"/>
                <w:szCs w:val="21"/>
              </w:rPr>
            </w:pPr>
            <w:r>
              <w:rPr>
                <w:sz w:val="21"/>
                <w:szCs w:val="21"/>
              </w:rPr>
              <w:t>FVM</w:t>
            </w:r>
          </w:p>
        </w:tc>
      </w:tr>
      <w:tr w14:paraId="1D5204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61" w:type="dxa"/>
          </w:tcPr>
          <w:p w14:paraId="7B6D6E6F">
            <w:pPr>
              <w:pStyle w:val="168"/>
              <w:rPr>
                <w:sz w:val="21"/>
                <w:szCs w:val="21"/>
              </w:rPr>
            </w:pPr>
            <w:r>
              <w:rPr>
                <w:sz w:val="21"/>
                <w:szCs w:val="21"/>
              </w:rPr>
              <w:t>气象监测</w:t>
            </w:r>
          </w:p>
        </w:tc>
        <w:tc>
          <w:tcPr>
            <w:tcW w:w="2461" w:type="dxa"/>
          </w:tcPr>
          <w:p w14:paraId="3032862C">
            <w:pPr>
              <w:pStyle w:val="168"/>
              <w:rPr>
                <w:sz w:val="21"/>
                <w:szCs w:val="21"/>
              </w:rPr>
            </w:pPr>
            <w:r>
              <w:rPr>
                <w:sz w:val="21"/>
                <w:szCs w:val="21"/>
              </w:rPr>
              <w:t>MET</w:t>
            </w:r>
          </w:p>
        </w:tc>
      </w:tr>
      <w:tr w14:paraId="000BA8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61" w:type="dxa"/>
          </w:tcPr>
          <w:p w14:paraId="6E856265">
            <w:pPr>
              <w:pStyle w:val="168"/>
              <w:rPr>
                <w:sz w:val="21"/>
                <w:szCs w:val="21"/>
              </w:rPr>
            </w:pPr>
            <w:r>
              <w:rPr>
                <w:sz w:val="21"/>
                <w:szCs w:val="21"/>
              </w:rPr>
              <w:t>位移</w:t>
            </w:r>
          </w:p>
        </w:tc>
        <w:tc>
          <w:tcPr>
            <w:tcW w:w="2461" w:type="dxa"/>
          </w:tcPr>
          <w:p w14:paraId="0E1CC058">
            <w:pPr>
              <w:pStyle w:val="168"/>
              <w:rPr>
                <w:sz w:val="21"/>
                <w:szCs w:val="21"/>
              </w:rPr>
            </w:pPr>
            <w:r>
              <w:rPr>
                <w:sz w:val="21"/>
                <w:szCs w:val="21"/>
              </w:rPr>
              <w:t>DIS</w:t>
            </w:r>
          </w:p>
        </w:tc>
      </w:tr>
      <w:tr w14:paraId="711DB9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61" w:type="dxa"/>
          </w:tcPr>
          <w:p w14:paraId="5A5ED484">
            <w:pPr>
              <w:pStyle w:val="168"/>
              <w:rPr>
                <w:sz w:val="21"/>
                <w:szCs w:val="21"/>
              </w:rPr>
            </w:pPr>
            <w:r>
              <w:rPr>
                <w:sz w:val="21"/>
                <w:szCs w:val="21"/>
              </w:rPr>
              <w:t>加速度</w:t>
            </w:r>
          </w:p>
        </w:tc>
        <w:tc>
          <w:tcPr>
            <w:tcW w:w="2461" w:type="dxa"/>
          </w:tcPr>
          <w:p w14:paraId="030BA74C">
            <w:pPr>
              <w:pStyle w:val="168"/>
              <w:rPr>
                <w:sz w:val="21"/>
                <w:szCs w:val="21"/>
              </w:rPr>
            </w:pPr>
            <w:r>
              <w:rPr>
                <w:sz w:val="21"/>
                <w:szCs w:val="21"/>
              </w:rPr>
              <w:t>ACC</w:t>
            </w:r>
          </w:p>
        </w:tc>
      </w:tr>
      <w:tr w14:paraId="53AFA7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61" w:type="dxa"/>
          </w:tcPr>
          <w:p w14:paraId="1C61068B">
            <w:pPr>
              <w:pStyle w:val="168"/>
              <w:rPr>
                <w:sz w:val="21"/>
                <w:szCs w:val="21"/>
              </w:rPr>
            </w:pPr>
            <w:r>
              <w:rPr>
                <w:sz w:val="21"/>
                <w:szCs w:val="21"/>
              </w:rPr>
              <w:t>应变</w:t>
            </w:r>
          </w:p>
        </w:tc>
        <w:tc>
          <w:tcPr>
            <w:tcW w:w="2461" w:type="dxa"/>
          </w:tcPr>
          <w:p w14:paraId="5144B3B9">
            <w:pPr>
              <w:pStyle w:val="168"/>
              <w:rPr>
                <w:sz w:val="21"/>
                <w:szCs w:val="21"/>
              </w:rPr>
            </w:pPr>
            <w:r>
              <w:rPr>
                <w:sz w:val="21"/>
                <w:szCs w:val="21"/>
              </w:rPr>
              <w:t>STA</w:t>
            </w:r>
          </w:p>
        </w:tc>
      </w:tr>
      <w:tr w14:paraId="6B6AD0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61" w:type="dxa"/>
          </w:tcPr>
          <w:p w14:paraId="14A6D9A9">
            <w:pPr>
              <w:pStyle w:val="168"/>
              <w:rPr>
                <w:sz w:val="21"/>
                <w:szCs w:val="21"/>
              </w:rPr>
            </w:pPr>
            <w:r>
              <w:rPr>
                <w:sz w:val="21"/>
                <w:szCs w:val="21"/>
              </w:rPr>
              <w:t>应力</w:t>
            </w:r>
          </w:p>
        </w:tc>
        <w:tc>
          <w:tcPr>
            <w:tcW w:w="2461" w:type="dxa"/>
          </w:tcPr>
          <w:p w14:paraId="5FF8EB61">
            <w:pPr>
              <w:pStyle w:val="168"/>
              <w:rPr>
                <w:sz w:val="21"/>
                <w:szCs w:val="21"/>
              </w:rPr>
            </w:pPr>
            <w:r>
              <w:rPr>
                <w:sz w:val="21"/>
                <w:szCs w:val="21"/>
              </w:rPr>
              <w:t>STE</w:t>
            </w:r>
          </w:p>
        </w:tc>
      </w:tr>
      <w:tr w14:paraId="4A64AE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61" w:type="dxa"/>
          </w:tcPr>
          <w:p w14:paraId="7BDD7154">
            <w:pPr>
              <w:pStyle w:val="168"/>
              <w:rPr>
                <w:sz w:val="21"/>
                <w:szCs w:val="21"/>
              </w:rPr>
            </w:pPr>
            <w:r>
              <w:rPr>
                <w:sz w:val="21"/>
                <w:szCs w:val="21"/>
              </w:rPr>
              <w:t>索力</w:t>
            </w:r>
          </w:p>
        </w:tc>
        <w:tc>
          <w:tcPr>
            <w:tcW w:w="2461" w:type="dxa"/>
          </w:tcPr>
          <w:p w14:paraId="795198ED">
            <w:pPr>
              <w:pStyle w:val="168"/>
              <w:rPr>
                <w:sz w:val="21"/>
                <w:szCs w:val="21"/>
              </w:rPr>
            </w:pPr>
            <w:r>
              <w:rPr>
                <w:sz w:val="21"/>
                <w:szCs w:val="21"/>
              </w:rPr>
              <w:t>CFM</w:t>
            </w:r>
          </w:p>
        </w:tc>
      </w:tr>
      <w:tr w14:paraId="4EF394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61" w:type="dxa"/>
          </w:tcPr>
          <w:p w14:paraId="137C4009">
            <w:pPr>
              <w:pStyle w:val="168"/>
              <w:rPr>
                <w:sz w:val="21"/>
                <w:szCs w:val="21"/>
              </w:rPr>
            </w:pPr>
            <w:r>
              <w:rPr>
                <w:sz w:val="21"/>
                <w:szCs w:val="21"/>
              </w:rPr>
              <w:t>转角</w:t>
            </w:r>
          </w:p>
        </w:tc>
        <w:tc>
          <w:tcPr>
            <w:tcW w:w="2461" w:type="dxa"/>
          </w:tcPr>
          <w:p w14:paraId="20B15AC2">
            <w:pPr>
              <w:pStyle w:val="168"/>
              <w:rPr>
                <w:sz w:val="21"/>
                <w:szCs w:val="21"/>
              </w:rPr>
            </w:pPr>
            <w:r>
              <w:rPr>
                <w:sz w:val="21"/>
                <w:szCs w:val="21"/>
              </w:rPr>
              <w:t>INC</w:t>
            </w:r>
          </w:p>
        </w:tc>
      </w:tr>
      <w:tr w14:paraId="5DD221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61" w:type="dxa"/>
          </w:tcPr>
          <w:p w14:paraId="71A32B64">
            <w:pPr>
              <w:pStyle w:val="168"/>
              <w:rPr>
                <w:sz w:val="21"/>
                <w:szCs w:val="21"/>
              </w:rPr>
            </w:pPr>
            <w:r>
              <w:rPr>
                <w:rFonts w:hint="eastAsia"/>
                <w:sz w:val="21"/>
                <w:szCs w:val="21"/>
              </w:rPr>
              <w:t>设计点位的相对位置</w:t>
            </w:r>
          </w:p>
        </w:tc>
        <w:tc>
          <w:tcPr>
            <w:tcW w:w="2461" w:type="dxa"/>
          </w:tcPr>
          <w:p w14:paraId="1BC48940">
            <w:pPr>
              <w:pStyle w:val="168"/>
              <w:rPr>
                <w:sz w:val="21"/>
                <w:szCs w:val="21"/>
              </w:rPr>
            </w:pPr>
            <w:r>
              <w:rPr>
                <w:rFonts w:hint="eastAsia"/>
                <w:sz w:val="21"/>
                <w:szCs w:val="21"/>
              </w:rPr>
              <w:t>RPS</w:t>
            </w:r>
          </w:p>
        </w:tc>
      </w:tr>
      <w:tr w14:paraId="0D6A0A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61" w:type="dxa"/>
          </w:tcPr>
          <w:p w14:paraId="61640534">
            <w:pPr>
              <w:pStyle w:val="168"/>
              <w:rPr>
                <w:sz w:val="21"/>
                <w:szCs w:val="21"/>
              </w:rPr>
            </w:pPr>
            <w:r>
              <w:rPr>
                <w:rFonts w:hint="eastAsia"/>
                <w:sz w:val="21"/>
                <w:szCs w:val="21"/>
              </w:rPr>
              <w:t>靠泊过程监测</w:t>
            </w:r>
          </w:p>
        </w:tc>
        <w:tc>
          <w:tcPr>
            <w:tcW w:w="2461" w:type="dxa"/>
          </w:tcPr>
          <w:p w14:paraId="55287DAC">
            <w:pPr>
              <w:pStyle w:val="168"/>
              <w:rPr>
                <w:sz w:val="21"/>
                <w:szCs w:val="21"/>
              </w:rPr>
            </w:pPr>
            <w:r>
              <w:rPr>
                <w:rFonts w:hint="eastAsia"/>
                <w:sz w:val="21"/>
                <w:szCs w:val="21"/>
              </w:rPr>
              <w:t>BRG</w:t>
            </w:r>
          </w:p>
        </w:tc>
      </w:tr>
      <w:tr w14:paraId="4933D6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61" w:type="dxa"/>
          </w:tcPr>
          <w:p w14:paraId="3830E41C">
            <w:pPr>
              <w:pStyle w:val="168"/>
              <w:rPr>
                <w:sz w:val="21"/>
                <w:szCs w:val="21"/>
              </w:rPr>
            </w:pPr>
            <w:r>
              <w:rPr>
                <w:rFonts w:hint="eastAsia"/>
                <w:sz w:val="21"/>
                <w:szCs w:val="21"/>
              </w:rPr>
              <w:t>其他</w:t>
            </w:r>
          </w:p>
        </w:tc>
        <w:tc>
          <w:tcPr>
            <w:tcW w:w="2461" w:type="dxa"/>
          </w:tcPr>
          <w:p w14:paraId="46ABD5BF">
            <w:pPr>
              <w:pStyle w:val="168"/>
              <w:rPr>
                <w:sz w:val="21"/>
                <w:szCs w:val="21"/>
              </w:rPr>
            </w:pPr>
            <w:r>
              <w:rPr>
                <w:rFonts w:hint="eastAsia"/>
                <w:sz w:val="21"/>
                <w:szCs w:val="21"/>
              </w:rPr>
              <w:t>OTH</w:t>
            </w:r>
          </w:p>
        </w:tc>
      </w:tr>
    </w:tbl>
    <w:p w14:paraId="29B2C073">
      <w:pPr>
        <w:pStyle w:val="170"/>
      </w:pPr>
    </w:p>
    <w:p w14:paraId="3768DF62">
      <w:pPr>
        <w:pStyle w:val="170"/>
      </w:pPr>
      <w:r>
        <w:rPr>
          <w:rFonts w:hint="eastAsia"/>
          <w:b/>
          <w:bCs/>
        </w:rPr>
        <w:t>C.0.3</w:t>
      </w:r>
      <w:r>
        <w:rPr>
          <w:rFonts w:hint="eastAsia"/>
        </w:rPr>
        <w:t>　传感器编号表、加速度监测数据表以及其它类型监测数据表可参考表C.3~C.5。</w:t>
      </w:r>
    </w:p>
    <w:p w14:paraId="483AE245">
      <w:pPr>
        <w:pStyle w:val="170"/>
      </w:pPr>
    </w:p>
    <w:p w14:paraId="568EBDD4">
      <w:pPr>
        <w:pStyle w:val="171"/>
      </w:pPr>
      <w:r>
        <w:rPr>
          <w:rFonts w:hint="eastAsia"/>
        </w:rPr>
        <w:t>表C.3  传感器编号表</w:t>
      </w:r>
    </w:p>
    <w:tbl>
      <w:tblPr>
        <w:tblStyle w:val="3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008"/>
        <w:gridCol w:w="1206"/>
        <w:gridCol w:w="1466"/>
        <w:gridCol w:w="1635"/>
        <w:gridCol w:w="1818"/>
        <w:gridCol w:w="913"/>
      </w:tblGrid>
      <w:tr w14:paraId="5B2A69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288" w:type="dxa"/>
            <w:gridSpan w:val="7"/>
            <w:vAlign w:val="center"/>
          </w:tcPr>
          <w:p w14:paraId="4398E232">
            <w:pPr>
              <w:pStyle w:val="168"/>
            </w:pPr>
            <w:r>
              <w:t>传感器编号表</w:t>
            </w:r>
          </w:p>
        </w:tc>
      </w:tr>
      <w:tr w14:paraId="5983BF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052B1023">
            <w:pPr>
              <w:pStyle w:val="168"/>
            </w:pPr>
            <w:r>
              <w:t>项目名称</w:t>
            </w:r>
          </w:p>
        </w:tc>
        <w:tc>
          <w:tcPr>
            <w:tcW w:w="3680" w:type="dxa"/>
            <w:gridSpan w:val="3"/>
            <w:vAlign w:val="center"/>
          </w:tcPr>
          <w:p w14:paraId="6016B693">
            <w:pPr>
              <w:pStyle w:val="168"/>
            </w:pPr>
          </w:p>
        </w:tc>
        <w:tc>
          <w:tcPr>
            <w:tcW w:w="1635" w:type="dxa"/>
            <w:vAlign w:val="center"/>
          </w:tcPr>
          <w:p w14:paraId="62671784">
            <w:pPr>
              <w:pStyle w:val="168"/>
            </w:pPr>
            <w:r>
              <w:t>制表时间</w:t>
            </w:r>
          </w:p>
        </w:tc>
        <w:tc>
          <w:tcPr>
            <w:tcW w:w="2731" w:type="dxa"/>
            <w:gridSpan w:val="2"/>
            <w:vAlign w:val="center"/>
          </w:tcPr>
          <w:p w14:paraId="27FE154C">
            <w:pPr>
              <w:pStyle w:val="168"/>
            </w:pPr>
          </w:p>
        </w:tc>
      </w:tr>
      <w:tr w14:paraId="41FE1A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2E482982">
            <w:pPr>
              <w:pStyle w:val="168"/>
            </w:pPr>
            <w:r>
              <w:t>填表人</w:t>
            </w:r>
          </w:p>
        </w:tc>
        <w:tc>
          <w:tcPr>
            <w:tcW w:w="3680" w:type="dxa"/>
            <w:gridSpan w:val="3"/>
            <w:vAlign w:val="center"/>
          </w:tcPr>
          <w:p w14:paraId="216D35DF">
            <w:pPr>
              <w:pStyle w:val="168"/>
            </w:pPr>
          </w:p>
        </w:tc>
        <w:tc>
          <w:tcPr>
            <w:tcW w:w="1635" w:type="dxa"/>
            <w:vAlign w:val="center"/>
          </w:tcPr>
          <w:p w14:paraId="75B87716">
            <w:pPr>
              <w:pStyle w:val="168"/>
            </w:pPr>
            <w:r>
              <w:t>审核人</w:t>
            </w:r>
          </w:p>
        </w:tc>
        <w:tc>
          <w:tcPr>
            <w:tcW w:w="2731" w:type="dxa"/>
            <w:gridSpan w:val="2"/>
            <w:vAlign w:val="center"/>
          </w:tcPr>
          <w:p w14:paraId="40BD8758">
            <w:pPr>
              <w:pStyle w:val="168"/>
            </w:pPr>
          </w:p>
        </w:tc>
      </w:tr>
      <w:tr w14:paraId="0CF5D7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4C5150C9">
            <w:pPr>
              <w:pStyle w:val="168"/>
            </w:pPr>
            <w:r>
              <w:t>序号</w:t>
            </w:r>
          </w:p>
        </w:tc>
        <w:tc>
          <w:tcPr>
            <w:tcW w:w="1008" w:type="dxa"/>
            <w:vAlign w:val="center"/>
          </w:tcPr>
          <w:p w14:paraId="6694F9DF">
            <w:pPr>
              <w:pStyle w:val="168"/>
            </w:pPr>
            <w:r>
              <w:t>传感器编号</w:t>
            </w:r>
          </w:p>
        </w:tc>
        <w:tc>
          <w:tcPr>
            <w:tcW w:w="1206" w:type="dxa"/>
            <w:vAlign w:val="center"/>
          </w:tcPr>
          <w:p w14:paraId="7C42CB75">
            <w:pPr>
              <w:pStyle w:val="168"/>
            </w:pPr>
            <w:r>
              <w:t>传感器类型</w:t>
            </w:r>
          </w:p>
        </w:tc>
        <w:tc>
          <w:tcPr>
            <w:tcW w:w="1466" w:type="dxa"/>
            <w:vAlign w:val="center"/>
          </w:tcPr>
          <w:p w14:paraId="2984337A">
            <w:pPr>
              <w:pStyle w:val="168"/>
            </w:pPr>
            <w:r>
              <w:t>监测数据类型</w:t>
            </w:r>
          </w:p>
        </w:tc>
        <w:tc>
          <w:tcPr>
            <w:tcW w:w="1635" w:type="dxa"/>
            <w:vAlign w:val="center"/>
          </w:tcPr>
          <w:p w14:paraId="4FB79F6B">
            <w:pPr>
              <w:pStyle w:val="168"/>
            </w:pPr>
            <w:r>
              <w:t>传感器位置描述</w:t>
            </w:r>
          </w:p>
        </w:tc>
        <w:tc>
          <w:tcPr>
            <w:tcW w:w="1818" w:type="dxa"/>
            <w:vAlign w:val="center"/>
          </w:tcPr>
          <w:p w14:paraId="526BAC61">
            <w:pPr>
              <w:pStyle w:val="168"/>
            </w:pPr>
            <w:r>
              <w:t>传感器布置图图号</w:t>
            </w:r>
          </w:p>
        </w:tc>
        <w:tc>
          <w:tcPr>
            <w:tcW w:w="913" w:type="dxa"/>
            <w:vAlign w:val="center"/>
          </w:tcPr>
          <w:p w14:paraId="07C0DD48">
            <w:pPr>
              <w:pStyle w:val="168"/>
            </w:pPr>
            <w:r>
              <w:t>备注</w:t>
            </w:r>
          </w:p>
        </w:tc>
      </w:tr>
      <w:tr w14:paraId="77FFF6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2" w:type="dxa"/>
          </w:tcPr>
          <w:p w14:paraId="4E478A33">
            <w:pPr>
              <w:pStyle w:val="168"/>
            </w:pPr>
          </w:p>
        </w:tc>
        <w:tc>
          <w:tcPr>
            <w:tcW w:w="1008" w:type="dxa"/>
          </w:tcPr>
          <w:p w14:paraId="298DB220">
            <w:pPr>
              <w:pStyle w:val="168"/>
            </w:pPr>
          </w:p>
        </w:tc>
        <w:tc>
          <w:tcPr>
            <w:tcW w:w="1206" w:type="dxa"/>
          </w:tcPr>
          <w:p w14:paraId="3BF7492C">
            <w:pPr>
              <w:pStyle w:val="168"/>
            </w:pPr>
          </w:p>
        </w:tc>
        <w:tc>
          <w:tcPr>
            <w:tcW w:w="1466" w:type="dxa"/>
          </w:tcPr>
          <w:p w14:paraId="18BEE4C5">
            <w:pPr>
              <w:pStyle w:val="168"/>
            </w:pPr>
          </w:p>
        </w:tc>
        <w:tc>
          <w:tcPr>
            <w:tcW w:w="1635" w:type="dxa"/>
          </w:tcPr>
          <w:p w14:paraId="6E5B0D7D">
            <w:pPr>
              <w:pStyle w:val="168"/>
            </w:pPr>
          </w:p>
        </w:tc>
        <w:tc>
          <w:tcPr>
            <w:tcW w:w="1818" w:type="dxa"/>
          </w:tcPr>
          <w:p w14:paraId="36216FE5">
            <w:pPr>
              <w:pStyle w:val="168"/>
            </w:pPr>
          </w:p>
        </w:tc>
        <w:tc>
          <w:tcPr>
            <w:tcW w:w="913" w:type="dxa"/>
          </w:tcPr>
          <w:p w14:paraId="3BCE64DB">
            <w:pPr>
              <w:pStyle w:val="168"/>
            </w:pPr>
          </w:p>
        </w:tc>
      </w:tr>
      <w:tr w14:paraId="7C43D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2" w:type="dxa"/>
          </w:tcPr>
          <w:p w14:paraId="318E6DE5">
            <w:pPr>
              <w:pStyle w:val="168"/>
            </w:pPr>
          </w:p>
        </w:tc>
        <w:tc>
          <w:tcPr>
            <w:tcW w:w="1008" w:type="dxa"/>
          </w:tcPr>
          <w:p w14:paraId="401AADB4">
            <w:pPr>
              <w:pStyle w:val="168"/>
            </w:pPr>
          </w:p>
        </w:tc>
        <w:tc>
          <w:tcPr>
            <w:tcW w:w="1206" w:type="dxa"/>
          </w:tcPr>
          <w:p w14:paraId="5A869F1E">
            <w:pPr>
              <w:pStyle w:val="168"/>
            </w:pPr>
          </w:p>
        </w:tc>
        <w:tc>
          <w:tcPr>
            <w:tcW w:w="1466" w:type="dxa"/>
          </w:tcPr>
          <w:p w14:paraId="79931BBC">
            <w:pPr>
              <w:pStyle w:val="168"/>
            </w:pPr>
          </w:p>
        </w:tc>
        <w:tc>
          <w:tcPr>
            <w:tcW w:w="1635" w:type="dxa"/>
          </w:tcPr>
          <w:p w14:paraId="1B9BF356">
            <w:pPr>
              <w:pStyle w:val="168"/>
            </w:pPr>
          </w:p>
        </w:tc>
        <w:tc>
          <w:tcPr>
            <w:tcW w:w="1818" w:type="dxa"/>
          </w:tcPr>
          <w:p w14:paraId="48D2DD6B">
            <w:pPr>
              <w:pStyle w:val="168"/>
            </w:pPr>
          </w:p>
        </w:tc>
        <w:tc>
          <w:tcPr>
            <w:tcW w:w="913" w:type="dxa"/>
          </w:tcPr>
          <w:p w14:paraId="5C852E08">
            <w:pPr>
              <w:pStyle w:val="168"/>
            </w:pPr>
          </w:p>
        </w:tc>
      </w:tr>
    </w:tbl>
    <w:p w14:paraId="7C0F4EA8">
      <w:pPr>
        <w:pStyle w:val="170"/>
      </w:pPr>
    </w:p>
    <w:p w14:paraId="07E37611">
      <w:pPr>
        <w:pStyle w:val="171"/>
      </w:pPr>
      <w:r>
        <w:rPr>
          <w:rFonts w:hint="eastAsia"/>
        </w:rPr>
        <w:t>表C.4  加速度监测数据表</w:t>
      </w:r>
    </w:p>
    <w:tbl>
      <w:tblPr>
        <w:tblStyle w:val="3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228"/>
        <w:gridCol w:w="1187"/>
        <w:gridCol w:w="1472"/>
        <w:gridCol w:w="1629"/>
        <w:gridCol w:w="1629"/>
        <w:gridCol w:w="901"/>
      </w:tblGrid>
      <w:tr w14:paraId="584829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288" w:type="dxa"/>
            <w:gridSpan w:val="7"/>
          </w:tcPr>
          <w:p w14:paraId="03B52B3B">
            <w:pPr>
              <w:pStyle w:val="168"/>
            </w:pPr>
            <w:r>
              <w:t>加速度监测数据表</w:t>
            </w:r>
          </w:p>
        </w:tc>
      </w:tr>
      <w:tr w14:paraId="418409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63688238">
            <w:pPr>
              <w:pStyle w:val="168"/>
            </w:pPr>
            <w:r>
              <w:t>项目名称</w:t>
            </w:r>
          </w:p>
        </w:tc>
        <w:tc>
          <w:tcPr>
            <w:tcW w:w="2415" w:type="dxa"/>
            <w:gridSpan w:val="2"/>
            <w:vAlign w:val="center"/>
          </w:tcPr>
          <w:p w14:paraId="3B589495">
            <w:pPr>
              <w:pStyle w:val="168"/>
            </w:pPr>
          </w:p>
        </w:tc>
        <w:tc>
          <w:tcPr>
            <w:tcW w:w="1472" w:type="dxa"/>
            <w:vAlign w:val="center"/>
          </w:tcPr>
          <w:p w14:paraId="5048E3BB">
            <w:pPr>
              <w:pStyle w:val="168"/>
            </w:pPr>
            <w:r>
              <w:t>制表时间</w:t>
            </w:r>
          </w:p>
        </w:tc>
        <w:tc>
          <w:tcPr>
            <w:tcW w:w="4159" w:type="dxa"/>
            <w:gridSpan w:val="3"/>
            <w:vAlign w:val="center"/>
          </w:tcPr>
          <w:p w14:paraId="17556157">
            <w:pPr>
              <w:pStyle w:val="168"/>
            </w:pPr>
          </w:p>
        </w:tc>
      </w:tr>
      <w:tr w14:paraId="72AE7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01682EEC">
            <w:pPr>
              <w:pStyle w:val="168"/>
            </w:pPr>
            <w:r>
              <w:t>填表人</w:t>
            </w:r>
          </w:p>
        </w:tc>
        <w:tc>
          <w:tcPr>
            <w:tcW w:w="2415" w:type="dxa"/>
            <w:gridSpan w:val="2"/>
            <w:vAlign w:val="center"/>
          </w:tcPr>
          <w:p w14:paraId="14DCCA0F">
            <w:pPr>
              <w:pStyle w:val="168"/>
            </w:pPr>
          </w:p>
        </w:tc>
        <w:tc>
          <w:tcPr>
            <w:tcW w:w="1472" w:type="dxa"/>
            <w:vAlign w:val="center"/>
          </w:tcPr>
          <w:p w14:paraId="75406F5F">
            <w:pPr>
              <w:pStyle w:val="168"/>
            </w:pPr>
            <w:r>
              <w:t>审核人</w:t>
            </w:r>
          </w:p>
        </w:tc>
        <w:tc>
          <w:tcPr>
            <w:tcW w:w="4159" w:type="dxa"/>
            <w:gridSpan w:val="3"/>
            <w:vAlign w:val="center"/>
          </w:tcPr>
          <w:p w14:paraId="43FD979E">
            <w:pPr>
              <w:pStyle w:val="168"/>
            </w:pPr>
          </w:p>
        </w:tc>
      </w:tr>
      <w:tr w14:paraId="4C6D02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299671D5">
            <w:pPr>
              <w:pStyle w:val="168"/>
            </w:pPr>
            <w:r>
              <w:t>序号</w:t>
            </w:r>
          </w:p>
        </w:tc>
        <w:tc>
          <w:tcPr>
            <w:tcW w:w="1228" w:type="dxa"/>
            <w:vMerge w:val="restart"/>
            <w:vAlign w:val="center"/>
          </w:tcPr>
          <w:p w14:paraId="0B99AE8E">
            <w:pPr>
              <w:pStyle w:val="168"/>
            </w:pPr>
            <w:r>
              <w:t>数据采集时刻</w:t>
            </w:r>
          </w:p>
        </w:tc>
        <w:tc>
          <w:tcPr>
            <w:tcW w:w="1187" w:type="dxa"/>
            <w:vMerge w:val="restart"/>
            <w:vAlign w:val="center"/>
          </w:tcPr>
          <w:p w14:paraId="21CA3D94">
            <w:pPr>
              <w:pStyle w:val="168"/>
            </w:pPr>
            <w:r>
              <w:t>传感器编号</w:t>
            </w:r>
          </w:p>
        </w:tc>
        <w:tc>
          <w:tcPr>
            <w:tcW w:w="4730" w:type="dxa"/>
            <w:gridSpan w:val="3"/>
            <w:vAlign w:val="center"/>
          </w:tcPr>
          <w:p w14:paraId="66A90EE3">
            <w:pPr>
              <w:pStyle w:val="168"/>
            </w:pPr>
            <w:r>
              <w:t>加速度监测数据</w:t>
            </w:r>
          </w:p>
        </w:tc>
        <w:tc>
          <w:tcPr>
            <w:tcW w:w="901" w:type="dxa"/>
            <w:vMerge w:val="restart"/>
            <w:vAlign w:val="center"/>
          </w:tcPr>
          <w:p w14:paraId="7EACF62C">
            <w:pPr>
              <w:pStyle w:val="168"/>
            </w:pPr>
            <w:r>
              <w:t>备注</w:t>
            </w:r>
          </w:p>
        </w:tc>
      </w:tr>
      <w:tr w14:paraId="1D0093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0D104B76">
            <w:pPr>
              <w:pStyle w:val="168"/>
            </w:pPr>
          </w:p>
        </w:tc>
        <w:tc>
          <w:tcPr>
            <w:tcW w:w="1228" w:type="dxa"/>
            <w:vMerge w:val="continue"/>
            <w:vAlign w:val="center"/>
          </w:tcPr>
          <w:p w14:paraId="452BA610">
            <w:pPr>
              <w:pStyle w:val="168"/>
            </w:pPr>
          </w:p>
        </w:tc>
        <w:tc>
          <w:tcPr>
            <w:tcW w:w="1187" w:type="dxa"/>
            <w:vMerge w:val="continue"/>
            <w:vAlign w:val="center"/>
          </w:tcPr>
          <w:p w14:paraId="368E967E">
            <w:pPr>
              <w:pStyle w:val="168"/>
            </w:pPr>
          </w:p>
        </w:tc>
        <w:tc>
          <w:tcPr>
            <w:tcW w:w="1472" w:type="dxa"/>
            <w:vAlign w:val="center"/>
          </w:tcPr>
          <w:p w14:paraId="17304215">
            <w:pPr>
              <w:pStyle w:val="168"/>
            </w:pPr>
            <w:r>
              <w:t>X向（m/s</w:t>
            </w:r>
            <w:r>
              <w:rPr>
                <w:vertAlign w:val="superscript"/>
              </w:rPr>
              <w:t xml:space="preserve"> 2</w:t>
            </w:r>
            <w:r>
              <w:t>）</w:t>
            </w:r>
          </w:p>
        </w:tc>
        <w:tc>
          <w:tcPr>
            <w:tcW w:w="1629" w:type="dxa"/>
            <w:vAlign w:val="center"/>
          </w:tcPr>
          <w:p w14:paraId="3163DF18">
            <w:pPr>
              <w:pStyle w:val="168"/>
            </w:pPr>
            <w:r>
              <w:t>Y向（m/s</w:t>
            </w:r>
            <w:r>
              <w:rPr>
                <w:vertAlign w:val="superscript"/>
              </w:rPr>
              <w:t>2</w:t>
            </w:r>
            <w:r>
              <w:t>）</w:t>
            </w:r>
          </w:p>
        </w:tc>
        <w:tc>
          <w:tcPr>
            <w:tcW w:w="1629" w:type="dxa"/>
            <w:vAlign w:val="center"/>
          </w:tcPr>
          <w:p w14:paraId="5F726FC9">
            <w:pPr>
              <w:pStyle w:val="168"/>
            </w:pPr>
            <w:r>
              <w:t>Z向（m/s</w:t>
            </w:r>
            <w:r>
              <w:rPr>
                <w:vertAlign w:val="superscript"/>
              </w:rPr>
              <w:t>2</w:t>
            </w:r>
            <w:r>
              <w:t>）</w:t>
            </w:r>
          </w:p>
        </w:tc>
        <w:tc>
          <w:tcPr>
            <w:tcW w:w="901" w:type="dxa"/>
            <w:vMerge w:val="continue"/>
            <w:vAlign w:val="center"/>
          </w:tcPr>
          <w:p w14:paraId="44376A94">
            <w:pPr>
              <w:pStyle w:val="168"/>
            </w:pPr>
          </w:p>
        </w:tc>
      </w:tr>
      <w:tr w14:paraId="6A4351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2" w:type="dxa"/>
          </w:tcPr>
          <w:p w14:paraId="3A2A1FC8">
            <w:pPr>
              <w:pStyle w:val="168"/>
            </w:pPr>
          </w:p>
        </w:tc>
        <w:tc>
          <w:tcPr>
            <w:tcW w:w="1228" w:type="dxa"/>
          </w:tcPr>
          <w:p w14:paraId="7D120A07">
            <w:pPr>
              <w:pStyle w:val="168"/>
            </w:pPr>
          </w:p>
        </w:tc>
        <w:tc>
          <w:tcPr>
            <w:tcW w:w="1187" w:type="dxa"/>
          </w:tcPr>
          <w:p w14:paraId="3817AE99">
            <w:pPr>
              <w:pStyle w:val="168"/>
            </w:pPr>
          </w:p>
        </w:tc>
        <w:tc>
          <w:tcPr>
            <w:tcW w:w="1472" w:type="dxa"/>
          </w:tcPr>
          <w:p w14:paraId="7F91E763">
            <w:pPr>
              <w:pStyle w:val="168"/>
            </w:pPr>
          </w:p>
        </w:tc>
        <w:tc>
          <w:tcPr>
            <w:tcW w:w="1629" w:type="dxa"/>
          </w:tcPr>
          <w:p w14:paraId="1B66CFEE">
            <w:pPr>
              <w:pStyle w:val="168"/>
            </w:pPr>
          </w:p>
        </w:tc>
        <w:tc>
          <w:tcPr>
            <w:tcW w:w="1629" w:type="dxa"/>
          </w:tcPr>
          <w:p w14:paraId="5243A6D1">
            <w:pPr>
              <w:pStyle w:val="168"/>
            </w:pPr>
          </w:p>
        </w:tc>
        <w:tc>
          <w:tcPr>
            <w:tcW w:w="901" w:type="dxa"/>
          </w:tcPr>
          <w:p w14:paraId="0863731A">
            <w:pPr>
              <w:pStyle w:val="168"/>
            </w:pPr>
          </w:p>
        </w:tc>
      </w:tr>
      <w:tr w14:paraId="1201F2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2" w:type="dxa"/>
          </w:tcPr>
          <w:p w14:paraId="33960B7F">
            <w:pPr>
              <w:pStyle w:val="168"/>
            </w:pPr>
          </w:p>
        </w:tc>
        <w:tc>
          <w:tcPr>
            <w:tcW w:w="1228" w:type="dxa"/>
          </w:tcPr>
          <w:p w14:paraId="1E43DA62">
            <w:pPr>
              <w:pStyle w:val="168"/>
            </w:pPr>
          </w:p>
        </w:tc>
        <w:tc>
          <w:tcPr>
            <w:tcW w:w="1187" w:type="dxa"/>
          </w:tcPr>
          <w:p w14:paraId="2C1DB3E0">
            <w:pPr>
              <w:pStyle w:val="168"/>
            </w:pPr>
          </w:p>
        </w:tc>
        <w:tc>
          <w:tcPr>
            <w:tcW w:w="1472" w:type="dxa"/>
          </w:tcPr>
          <w:p w14:paraId="0A8A5CCA">
            <w:pPr>
              <w:pStyle w:val="168"/>
            </w:pPr>
          </w:p>
        </w:tc>
        <w:tc>
          <w:tcPr>
            <w:tcW w:w="1629" w:type="dxa"/>
          </w:tcPr>
          <w:p w14:paraId="79165EA3">
            <w:pPr>
              <w:pStyle w:val="168"/>
            </w:pPr>
          </w:p>
        </w:tc>
        <w:tc>
          <w:tcPr>
            <w:tcW w:w="1629" w:type="dxa"/>
          </w:tcPr>
          <w:p w14:paraId="6A398853">
            <w:pPr>
              <w:pStyle w:val="168"/>
            </w:pPr>
          </w:p>
        </w:tc>
        <w:tc>
          <w:tcPr>
            <w:tcW w:w="901" w:type="dxa"/>
          </w:tcPr>
          <w:p w14:paraId="3C2FD4C2">
            <w:pPr>
              <w:pStyle w:val="168"/>
            </w:pPr>
          </w:p>
        </w:tc>
      </w:tr>
    </w:tbl>
    <w:p w14:paraId="66C9C906">
      <w:pPr>
        <w:pStyle w:val="170"/>
      </w:pPr>
    </w:p>
    <w:p w14:paraId="21DE1A45">
      <w:pPr>
        <w:pStyle w:val="171"/>
      </w:pPr>
      <w:r>
        <w:rPr>
          <w:rFonts w:hint="eastAsia"/>
        </w:rPr>
        <w:t>表C.5  其它类型监测数据表</w:t>
      </w:r>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07"/>
        <w:gridCol w:w="848"/>
        <w:gridCol w:w="1289"/>
        <w:gridCol w:w="1562"/>
        <w:gridCol w:w="1686"/>
        <w:gridCol w:w="1809"/>
        <w:gridCol w:w="641"/>
      </w:tblGrid>
      <w:tr w14:paraId="74199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042" w:type="dxa"/>
            <w:gridSpan w:val="7"/>
            <w:vAlign w:val="center"/>
          </w:tcPr>
          <w:p w14:paraId="4B0AB048">
            <w:pPr>
              <w:pStyle w:val="168"/>
            </w:pPr>
            <w:r>
              <w:t>监测数据表</w:t>
            </w:r>
          </w:p>
        </w:tc>
      </w:tr>
      <w:tr w14:paraId="5B66AD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Align w:val="center"/>
          </w:tcPr>
          <w:p w14:paraId="151E6600">
            <w:pPr>
              <w:pStyle w:val="168"/>
            </w:pPr>
            <w:r>
              <w:t>项目名称</w:t>
            </w:r>
          </w:p>
        </w:tc>
        <w:tc>
          <w:tcPr>
            <w:tcW w:w="3699" w:type="dxa"/>
            <w:gridSpan w:val="3"/>
            <w:vAlign w:val="center"/>
          </w:tcPr>
          <w:p w14:paraId="4A3BCB5E">
            <w:pPr>
              <w:pStyle w:val="168"/>
            </w:pPr>
          </w:p>
        </w:tc>
        <w:tc>
          <w:tcPr>
            <w:tcW w:w="1686" w:type="dxa"/>
            <w:vAlign w:val="center"/>
          </w:tcPr>
          <w:p w14:paraId="72F5A5EB">
            <w:pPr>
              <w:pStyle w:val="168"/>
            </w:pPr>
            <w:r>
              <w:t>制表时间</w:t>
            </w:r>
          </w:p>
        </w:tc>
        <w:tc>
          <w:tcPr>
            <w:tcW w:w="2450" w:type="dxa"/>
            <w:gridSpan w:val="2"/>
            <w:vAlign w:val="center"/>
          </w:tcPr>
          <w:p w14:paraId="54EB213B">
            <w:pPr>
              <w:pStyle w:val="168"/>
            </w:pPr>
          </w:p>
        </w:tc>
      </w:tr>
      <w:tr w14:paraId="6A9522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Align w:val="center"/>
          </w:tcPr>
          <w:p w14:paraId="0D2745E2">
            <w:pPr>
              <w:pStyle w:val="168"/>
            </w:pPr>
            <w:r>
              <w:t>填表人</w:t>
            </w:r>
          </w:p>
        </w:tc>
        <w:tc>
          <w:tcPr>
            <w:tcW w:w="3699" w:type="dxa"/>
            <w:gridSpan w:val="3"/>
            <w:vAlign w:val="center"/>
          </w:tcPr>
          <w:p w14:paraId="36B0947E">
            <w:pPr>
              <w:pStyle w:val="168"/>
            </w:pPr>
          </w:p>
        </w:tc>
        <w:tc>
          <w:tcPr>
            <w:tcW w:w="1686" w:type="dxa"/>
            <w:vAlign w:val="center"/>
          </w:tcPr>
          <w:p w14:paraId="2F3D71C1">
            <w:pPr>
              <w:pStyle w:val="168"/>
            </w:pPr>
            <w:r>
              <w:t>审核人</w:t>
            </w:r>
          </w:p>
        </w:tc>
        <w:tc>
          <w:tcPr>
            <w:tcW w:w="2450" w:type="dxa"/>
            <w:gridSpan w:val="2"/>
            <w:vAlign w:val="center"/>
          </w:tcPr>
          <w:p w14:paraId="6341B3A1">
            <w:pPr>
              <w:pStyle w:val="168"/>
            </w:pPr>
          </w:p>
        </w:tc>
      </w:tr>
      <w:tr w14:paraId="53700D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Merge w:val="restart"/>
            <w:vAlign w:val="center"/>
          </w:tcPr>
          <w:p w14:paraId="76546C27">
            <w:pPr>
              <w:pStyle w:val="168"/>
            </w:pPr>
            <w:r>
              <w:t>序号</w:t>
            </w:r>
          </w:p>
        </w:tc>
        <w:tc>
          <w:tcPr>
            <w:tcW w:w="848" w:type="dxa"/>
            <w:vMerge w:val="restart"/>
            <w:vAlign w:val="center"/>
          </w:tcPr>
          <w:p w14:paraId="1FC6059D">
            <w:pPr>
              <w:pStyle w:val="168"/>
            </w:pPr>
            <w:r>
              <w:t>数据采集时刻</w:t>
            </w:r>
          </w:p>
        </w:tc>
        <w:tc>
          <w:tcPr>
            <w:tcW w:w="1289" w:type="dxa"/>
            <w:vMerge w:val="restart"/>
            <w:vAlign w:val="center"/>
          </w:tcPr>
          <w:p w14:paraId="0AD20BD0">
            <w:pPr>
              <w:pStyle w:val="168"/>
            </w:pPr>
            <w:r>
              <w:t>传感器编号</w:t>
            </w:r>
          </w:p>
        </w:tc>
        <w:tc>
          <w:tcPr>
            <w:tcW w:w="5057" w:type="dxa"/>
            <w:gridSpan w:val="3"/>
            <w:vAlign w:val="center"/>
          </w:tcPr>
          <w:p w14:paraId="371BF1BF">
            <w:pPr>
              <w:pStyle w:val="168"/>
            </w:pPr>
            <w:r>
              <w:t>监测数据</w:t>
            </w:r>
          </w:p>
        </w:tc>
        <w:tc>
          <w:tcPr>
            <w:tcW w:w="641" w:type="dxa"/>
            <w:vMerge w:val="restart"/>
            <w:vAlign w:val="center"/>
          </w:tcPr>
          <w:p w14:paraId="4615F54B">
            <w:pPr>
              <w:pStyle w:val="168"/>
            </w:pPr>
            <w:r>
              <w:t>备注</w:t>
            </w:r>
          </w:p>
        </w:tc>
      </w:tr>
      <w:tr w14:paraId="1ACBB5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Merge w:val="continue"/>
            <w:vAlign w:val="center"/>
          </w:tcPr>
          <w:p w14:paraId="0CD4C720">
            <w:pPr>
              <w:pStyle w:val="168"/>
            </w:pPr>
          </w:p>
        </w:tc>
        <w:tc>
          <w:tcPr>
            <w:tcW w:w="848" w:type="dxa"/>
            <w:vMerge w:val="continue"/>
            <w:vAlign w:val="center"/>
          </w:tcPr>
          <w:p w14:paraId="59E7DCE8">
            <w:pPr>
              <w:pStyle w:val="168"/>
            </w:pPr>
          </w:p>
        </w:tc>
        <w:tc>
          <w:tcPr>
            <w:tcW w:w="1289" w:type="dxa"/>
            <w:vMerge w:val="continue"/>
            <w:vAlign w:val="center"/>
          </w:tcPr>
          <w:p w14:paraId="2F1298A8">
            <w:pPr>
              <w:pStyle w:val="168"/>
            </w:pPr>
          </w:p>
        </w:tc>
        <w:tc>
          <w:tcPr>
            <w:tcW w:w="1562" w:type="dxa"/>
            <w:vAlign w:val="center"/>
          </w:tcPr>
          <w:p w14:paraId="77773FD7">
            <w:pPr>
              <w:pStyle w:val="168"/>
            </w:pPr>
            <w:r>
              <w:t>参数1（单位）</w:t>
            </w:r>
          </w:p>
        </w:tc>
        <w:tc>
          <w:tcPr>
            <w:tcW w:w="1686" w:type="dxa"/>
            <w:vAlign w:val="center"/>
          </w:tcPr>
          <w:p w14:paraId="34D92101">
            <w:pPr>
              <w:pStyle w:val="168"/>
            </w:pPr>
            <w:r>
              <w:t>参数2（单位）</w:t>
            </w:r>
          </w:p>
        </w:tc>
        <w:tc>
          <w:tcPr>
            <w:tcW w:w="1809" w:type="dxa"/>
            <w:vAlign w:val="center"/>
          </w:tcPr>
          <w:p w14:paraId="08D3ED9F">
            <w:pPr>
              <w:pStyle w:val="168"/>
            </w:pPr>
            <w:r>
              <w:t>参数3（单位）</w:t>
            </w:r>
          </w:p>
        </w:tc>
        <w:tc>
          <w:tcPr>
            <w:tcW w:w="641" w:type="dxa"/>
            <w:vMerge w:val="continue"/>
            <w:vAlign w:val="center"/>
          </w:tcPr>
          <w:p w14:paraId="454FA076">
            <w:pPr>
              <w:pStyle w:val="168"/>
            </w:pPr>
          </w:p>
        </w:tc>
      </w:tr>
      <w:tr w14:paraId="5E190F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Align w:val="center"/>
          </w:tcPr>
          <w:p w14:paraId="13FCA372">
            <w:pPr>
              <w:pStyle w:val="168"/>
            </w:pPr>
          </w:p>
        </w:tc>
        <w:tc>
          <w:tcPr>
            <w:tcW w:w="848" w:type="dxa"/>
            <w:vAlign w:val="center"/>
          </w:tcPr>
          <w:p w14:paraId="5E16F566">
            <w:pPr>
              <w:pStyle w:val="168"/>
            </w:pPr>
          </w:p>
        </w:tc>
        <w:tc>
          <w:tcPr>
            <w:tcW w:w="1289" w:type="dxa"/>
            <w:vAlign w:val="center"/>
          </w:tcPr>
          <w:p w14:paraId="31D1319B">
            <w:pPr>
              <w:pStyle w:val="168"/>
            </w:pPr>
          </w:p>
        </w:tc>
        <w:tc>
          <w:tcPr>
            <w:tcW w:w="1562" w:type="dxa"/>
            <w:vAlign w:val="center"/>
          </w:tcPr>
          <w:p w14:paraId="4168E232">
            <w:pPr>
              <w:pStyle w:val="168"/>
            </w:pPr>
          </w:p>
        </w:tc>
        <w:tc>
          <w:tcPr>
            <w:tcW w:w="1686" w:type="dxa"/>
            <w:vAlign w:val="center"/>
          </w:tcPr>
          <w:p w14:paraId="6FBA7EAA">
            <w:pPr>
              <w:pStyle w:val="168"/>
            </w:pPr>
          </w:p>
        </w:tc>
        <w:tc>
          <w:tcPr>
            <w:tcW w:w="1809" w:type="dxa"/>
            <w:vAlign w:val="center"/>
          </w:tcPr>
          <w:p w14:paraId="609A2C2D">
            <w:pPr>
              <w:pStyle w:val="168"/>
            </w:pPr>
          </w:p>
        </w:tc>
        <w:tc>
          <w:tcPr>
            <w:tcW w:w="641" w:type="dxa"/>
            <w:vAlign w:val="center"/>
          </w:tcPr>
          <w:p w14:paraId="159DB442">
            <w:pPr>
              <w:pStyle w:val="168"/>
            </w:pPr>
          </w:p>
        </w:tc>
      </w:tr>
      <w:tr w14:paraId="64785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Align w:val="center"/>
          </w:tcPr>
          <w:p w14:paraId="027E5FC5">
            <w:pPr>
              <w:pStyle w:val="168"/>
            </w:pPr>
          </w:p>
        </w:tc>
        <w:tc>
          <w:tcPr>
            <w:tcW w:w="848" w:type="dxa"/>
            <w:vAlign w:val="center"/>
          </w:tcPr>
          <w:p w14:paraId="452CB752">
            <w:pPr>
              <w:pStyle w:val="168"/>
            </w:pPr>
          </w:p>
        </w:tc>
        <w:tc>
          <w:tcPr>
            <w:tcW w:w="1289" w:type="dxa"/>
            <w:vAlign w:val="center"/>
          </w:tcPr>
          <w:p w14:paraId="5F81ABD1">
            <w:pPr>
              <w:pStyle w:val="168"/>
            </w:pPr>
          </w:p>
        </w:tc>
        <w:tc>
          <w:tcPr>
            <w:tcW w:w="1562" w:type="dxa"/>
            <w:vAlign w:val="center"/>
          </w:tcPr>
          <w:p w14:paraId="0CA95868">
            <w:pPr>
              <w:pStyle w:val="168"/>
            </w:pPr>
          </w:p>
        </w:tc>
        <w:tc>
          <w:tcPr>
            <w:tcW w:w="1686" w:type="dxa"/>
            <w:vAlign w:val="center"/>
          </w:tcPr>
          <w:p w14:paraId="57B13B56">
            <w:pPr>
              <w:pStyle w:val="168"/>
            </w:pPr>
          </w:p>
        </w:tc>
        <w:tc>
          <w:tcPr>
            <w:tcW w:w="1809" w:type="dxa"/>
            <w:vAlign w:val="center"/>
          </w:tcPr>
          <w:p w14:paraId="453E3CDD">
            <w:pPr>
              <w:pStyle w:val="168"/>
            </w:pPr>
          </w:p>
        </w:tc>
        <w:tc>
          <w:tcPr>
            <w:tcW w:w="641" w:type="dxa"/>
            <w:vAlign w:val="center"/>
          </w:tcPr>
          <w:p w14:paraId="7FB1D654">
            <w:pPr>
              <w:pStyle w:val="168"/>
            </w:pPr>
          </w:p>
        </w:tc>
      </w:tr>
    </w:tbl>
    <w:p w14:paraId="4B4C8C5A">
      <w:pPr>
        <w:pStyle w:val="170"/>
      </w:pPr>
    </w:p>
    <w:p w14:paraId="7595C4CA">
      <w:pPr>
        <w:pStyle w:val="170"/>
      </w:pPr>
      <w:r>
        <w:br w:type="page"/>
      </w:r>
    </w:p>
    <w:p w14:paraId="028F7B93">
      <w:pPr>
        <w:pStyle w:val="169"/>
      </w:pPr>
      <w:bookmarkStart w:id="75" w:name="_Toc221528707"/>
      <w:bookmarkStart w:id="76" w:name="_Toc221528778"/>
      <w:r>
        <w:rPr>
          <w:rFonts w:hint="eastAsia"/>
        </w:rPr>
        <w:t>附录D</w:t>
      </w:r>
      <w:r>
        <w:br w:type="textWrapping"/>
      </w:r>
      <w:r>
        <w:rPr>
          <w:rFonts w:hint="eastAsia"/>
        </w:rPr>
        <w:t>（规范性）</w:t>
      </w:r>
      <w:r>
        <w:rPr>
          <w:lang w:eastAsia="zh-CN"/>
        </w:rPr>
        <w:br w:type="textWrapping"/>
      </w:r>
      <w:r>
        <w:rPr>
          <w:rFonts w:hint="eastAsia"/>
        </w:rPr>
        <w:t>防船撞安全距离</w:t>
      </w:r>
      <w:bookmarkEnd w:id="75"/>
      <w:bookmarkEnd w:id="76"/>
    </w:p>
    <w:p w14:paraId="54FB419C">
      <w:pPr>
        <w:pStyle w:val="170"/>
      </w:pPr>
      <w:r>
        <w:rPr>
          <w:rFonts w:hint="eastAsia"/>
          <w:b/>
          <w:bCs/>
        </w:rPr>
        <w:t>D.0.1</w:t>
      </w:r>
      <w:r>
        <w:rPr>
          <w:rFonts w:hint="eastAsia"/>
        </w:rPr>
        <w:t>　防撞装安全距离可以根据实际情况，按照</w:t>
      </w:r>
      <w:r>
        <w:rPr>
          <w:rFonts w:hint="eastAsia"/>
          <w:bCs/>
        </w:rPr>
        <w:t>D.0.2~D.0.4</w:t>
      </w:r>
      <w:r>
        <w:rPr>
          <w:rFonts w:hint="eastAsia"/>
        </w:rPr>
        <w:t>条取值。</w:t>
      </w:r>
    </w:p>
    <w:p w14:paraId="30904E5A">
      <w:pPr>
        <w:pStyle w:val="170"/>
      </w:pPr>
      <w:r>
        <w:rPr>
          <w:rFonts w:hint="eastAsia"/>
          <w:b/>
          <w:bCs/>
        </w:rPr>
        <w:t>D.0.2</w:t>
      </w:r>
      <w:r>
        <w:rPr>
          <w:rFonts w:hint="eastAsia"/>
        </w:rPr>
        <w:t>　防船撞安全距离理论计算公式</w:t>
      </w:r>
    </w:p>
    <w:tbl>
      <w:tblPr>
        <w:tblStyle w:val="36"/>
        <w:tblW w:w="9298"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34"/>
        <w:gridCol w:w="7030"/>
        <w:gridCol w:w="1134"/>
      </w:tblGrid>
      <w:tr w14:paraId="53B33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1134" w:type="dxa"/>
            <w:vAlign w:val="center"/>
          </w:tcPr>
          <w:p w14:paraId="2607D875">
            <w:pPr>
              <w:pStyle w:val="175"/>
              <w:widowControl w:val="0"/>
              <w:ind w:firstLine="0" w:firstLineChars="0"/>
              <w:jc w:val="center"/>
            </w:pPr>
          </w:p>
        </w:tc>
        <w:tc>
          <w:tcPr>
            <w:tcW w:w="7030" w:type="dxa"/>
            <w:vAlign w:val="center"/>
          </w:tcPr>
          <w:p w14:paraId="1607B542">
            <w:pPr>
              <w:pStyle w:val="175"/>
              <w:widowControl w:val="0"/>
              <w:ind w:firstLine="0" w:firstLineChars="0"/>
              <w:jc w:val="center"/>
            </w:pPr>
            <m:oMathPara>
              <m:oMath>
                <m:r>
                  <m:rPr/>
                  <w:rPr>
                    <w:rFonts w:ascii="Cambria Math" w:hAnsi="Cambria Math"/>
                  </w:rPr>
                  <m:t>S</m:t>
                </m:r>
                <m:r>
                  <m:rPr>
                    <m:sty m:val="p"/>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m:sty m:val="p"/>
                      </m:rPr>
                      <w:rPr>
                        <w:rFonts w:ascii="Cambria Math" w:hAnsi="Cambria Math"/>
                      </w:rPr>
                      <m:t>3</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m:sty m:val="p"/>
                      </m:rPr>
                      <w:rPr>
                        <w:rFonts w:ascii="Cambria Math" w:hAnsi="Cambria Math"/>
                      </w:rPr>
                      <m:t>4</m:t>
                    </m:r>
                    <m:ctrlPr>
                      <w:rPr>
                        <w:rFonts w:ascii="Cambria Math" w:hAnsi="Cambria Math"/>
                      </w:rPr>
                    </m:ctrlPr>
                  </m:sub>
                </m:sSub>
              </m:oMath>
            </m:oMathPara>
          </w:p>
        </w:tc>
        <w:tc>
          <w:tcPr>
            <w:tcW w:w="1134" w:type="dxa"/>
            <w:vAlign w:val="center"/>
          </w:tcPr>
          <w:p w14:paraId="40C153A8">
            <w:pPr>
              <w:pStyle w:val="175"/>
              <w:widowControl w:val="0"/>
              <w:ind w:firstLine="0" w:firstLineChars="0"/>
              <w:jc w:val="right"/>
            </w:pPr>
            <w:r>
              <w:t>(</w:t>
            </w:r>
            <w:r>
              <w:rPr>
                <w:rFonts w:hint="eastAsia"/>
              </w:rPr>
              <w:t>D.0.</w:t>
            </w:r>
            <w:r>
              <w:t>1-1)</w:t>
            </w:r>
          </w:p>
        </w:tc>
      </w:tr>
    </w:tbl>
    <w:p w14:paraId="17521BE2">
      <w:pPr>
        <w:pStyle w:val="170"/>
        <w:ind w:left="420" w:leftChars="200"/>
      </w:pPr>
      <w:r>
        <w:t>式中：</w:t>
      </w:r>
    </w:p>
    <w:p w14:paraId="440459E9">
      <w:pPr>
        <w:pStyle w:val="170"/>
        <w:ind w:left="420" w:leftChars="200"/>
      </w:pPr>
      <m:oMath>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0</m:t>
            </m:r>
            <m:ctrlPr>
              <w:rPr>
                <w:rFonts w:ascii="Cambria Math" w:hAnsi="Cambria Math"/>
                <w:i/>
                <w:iCs/>
              </w:rPr>
            </m:ctrlPr>
          </m:sub>
        </m:sSub>
      </m:oMath>
      <w:r>
        <w:t>——船舶停止时与水上构筑物之间的最小间距；</w:t>
      </w:r>
    </w:p>
    <w:p w14:paraId="75FA0AF2">
      <w:pPr>
        <w:pStyle w:val="170"/>
        <w:ind w:left="420" w:leftChars="200"/>
      </w:pPr>
      <m:oMath>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1</m:t>
            </m:r>
            <m:ctrlPr>
              <w:rPr>
                <w:rFonts w:ascii="Cambria Math" w:hAnsi="Cambria Math"/>
                <w:i/>
                <w:iCs/>
              </w:rPr>
            </m:ctrlPr>
          </m:sub>
        </m:sSub>
      </m:oMath>
      <w:r>
        <w:t>——船员操作反应时间内船舶行驶的距离；</w:t>
      </w:r>
    </w:p>
    <w:p w14:paraId="1482D4D0">
      <w:pPr>
        <w:pStyle w:val="170"/>
        <w:ind w:left="420" w:leftChars="200"/>
      </w:pPr>
      <m:oMath>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2</m:t>
            </m:r>
            <m:ctrlPr>
              <w:rPr>
                <w:rFonts w:ascii="Cambria Math" w:hAnsi="Cambria Math"/>
                <w:i/>
                <w:iCs/>
              </w:rPr>
            </m:ctrlPr>
          </m:sub>
        </m:sSub>
      </m:oMath>
      <w:r>
        <w:t>——船舶制动距离；</w:t>
      </w:r>
    </w:p>
    <w:p w14:paraId="7A2ADC71">
      <w:pPr>
        <w:pStyle w:val="170"/>
        <w:ind w:left="420" w:leftChars="200"/>
      </w:pPr>
      <m:oMath>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3</m:t>
            </m:r>
            <m:ctrlPr>
              <w:rPr>
                <w:rFonts w:ascii="Cambria Math" w:hAnsi="Cambria Math"/>
                <w:i/>
                <w:iCs/>
              </w:rPr>
            </m:ctrlPr>
          </m:sub>
        </m:sSub>
      </m:oMath>
      <w:r>
        <w:t>——水流影响的船舶行进距离；</w:t>
      </w:r>
    </w:p>
    <w:p w14:paraId="5957D3AF">
      <w:pPr>
        <w:pStyle w:val="170"/>
        <w:ind w:left="420" w:leftChars="200"/>
      </w:pPr>
      <m:oMath>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4</m:t>
            </m:r>
            <m:ctrlPr>
              <w:rPr>
                <w:rFonts w:ascii="Cambria Math" w:hAnsi="Cambria Math"/>
                <w:i/>
                <w:iCs/>
              </w:rPr>
            </m:ctrlPr>
          </m:sub>
        </m:sSub>
      </m:oMath>
      <w:r>
        <w:t>——风影响的船舶行进距离，可忽略。</w:t>
      </w:r>
    </w:p>
    <w:p w14:paraId="58753FD5">
      <w:pPr>
        <w:pStyle w:val="170"/>
      </w:pPr>
    </w:p>
    <w:p w14:paraId="2513F36A">
      <w:pPr>
        <w:pStyle w:val="170"/>
      </w:pPr>
      <w:r>
        <w:rPr>
          <w:rFonts w:hint="eastAsia"/>
          <w:b/>
          <w:bCs/>
        </w:rPr>
        <w:t>D.0.3</w:t>
      </w:r>
      <w:r>
        <w:rPr>
          <w:rFonts w:hint="eastAsia"/>
        </w:rPr>
        <w:t>　船舶采用倒车制动时，防船撞最小安全距离</w:t>
      </w:r>
    </w:p>
    <w:tbl>
      <w:tblPr>
        <w:tblStyle w:val="36"/>
        <w:tblW w:w="9298"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34"/>
        <w:gridCol w:w="7030"/>
        <w:gridCol w:w="1134"/>
      </w:tblGrid>
      <w:tr w14:paraId="379BF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1134" w:type="dxa"/>
            <w:vAlign w:val="center"/>
          </w:tcPr>
          <w:p w14:paraId="522D47A7">
            <w:pPr>
              <w:pStyle w:val="175"/>
              <w:widowControl w:val="0"/>
              <w:ind w:firstLine="0" w:firstLineChars="0"/>
              <w:jc w:val="center"/>
            </w:pPr>
          </w:p>
        </w:tc>
        <w:tc>
          <w:tcPr>
            <w:tcW w:w="7030" w:type="dxa"/>
            <w:vAlign w:val="center"/>
          </w:tcPr>
          <w:p w14:paraId="2E22A3DE">
            <w:pPr>
              <w:pStyle w:val="175"/>
              <w:widowControl w:val="0"/>
              <w:ind w:firstLine="0" w:firstLineChars="0"/>
              <w:jc w:val="center"/>
            </w:pPr>
            <m:oMathPara>
              <m:oMath>
                <m:r>
                  <m:rPr/>
                  <w:rPr>
                    <w:rFonts w:ascii="Cambria Math" w:hAnsi="Cambria Math"/>
                  </w:rPr>
                  <m:t>S</m:t>
                </m:r>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w:rPr>
                            <w:rFonts w:ascii="Cambria Math" w:hAnsi="Cambria Math"/>
                          </w:rPr>
                          <m:t>L</m:t>
                        </m:r>
                        <m:ctrlPr>
                          <w:rPr>
                            <w:rFonts w:ascii="Cambria Math" w:hAnsi="Cambria Math"/>
                          </w:rPr>
                        </m:ctrlPr>
                      </m:e>
                      <m:sub>
                        <m:r>
                          <m:rPr>
                            <m:sty m:val="p"/>
                          </m:rPr>
                          <w:rPr>
                            <w:rFonts w:ascii="Cambria Math" w:hAnsi="Cambria Math"/>
                          </w:rPr>
                          <m:t>船</m:t>
                        </m:r>
                        <m:ctrlPr>
                          <w:rPr>
                            <w:rFonts w:ascii="Cambria Math" w:hAnsi="Cambria Math"/>
                          </w:rPr>
                        </m:ctrlPr>
                      </m:sub>
                    </m:sSub>
                    <m:r>
                      <m:rPr>
                        <m:sty m:val="p"/>
                      </m:rPr>
                      <w:rPr>
                        <w:rFonts w:ascii="Cambria Math" w:hAnsi="Cambria Math"/>
                      </w:rPr>
                      <m:t>+</m:t>
                    </m:r>
                    <m:sSubSup>
                      <m:sSubSupPr>
                        <m:ctrlPr>
                          <w:rPr>
                            <w:rFonts w:ascii="Cambria Math" w:hAnsi="Cambria Math"/>
                          </w:rPr>
                        </m:ctrlPr>
                      </m:sSubSupPr>
                      <m:e>
                        <m:f>
                          <m:fPr>
                            <m:ctrlPr>
                              <w:rPr>
                                <w:rFonts w:ascii="Cambria Math" w:hAnsi="Cambria Math"/>
                              </w:rPr>
                            </m:ctrlPr>
                          </m:fPr>
                          <m:num>
                            <m:r>
                              <m:rPr/>
                              <w:rPr>
                                <w:rFonts w:ascii="Cambria Math" w:hAnsi="Cambria Math"/>
                              </w:rPr>
                              <m:t>m</m:t>
                            </m:r>
                            <m:ctrlPr>
                              <w:rPr>
                                <w:rFonts w:ascii="Cambria Math" w:hAnsi="Cambria Math"/>
                              </w:rPr>
                            </m:ctrlPr>
                          </m:num>
                          <m:den>
                            <m:r>
                              <m:rPr>
                                <m:sty m:val="p"/>
                              </m:rPr>
                              <w:rPr>
                                <w:rFonts w:ascii="Cambria Math" w:hAnsi="Cambria Math"/>
                              </w:rPr>
                              <m:t>3(</m:t>
                            </m:r>
                            <m:sSub>
                              <m:sSubPr>
                                <m:ctrlPr>
                                  <w:rPr>
                                    <w:rFonts w:ascii="Cambria Math" w:hAnsi="Cambria Math"/>
                                  </w:rPr>
                                </m:ctrlPr>
                              </m:sSubPr>
                              <m:e>
                                <m:r>
                                  <m:rPr/>
                                  <w:rPr>
                                    <w:rFonts w:ascii="Cambria Math" w:hAnsi="Cambria Math"/>
                                  </w:rPr>
                                  <m:t>k</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m:t>
                            </m:r>
                            <m:ctrlPr>
                              <w:rPr>
                                <w:rFonts w:ascii="Cambria Math" w:hAnsi="Cambria Math"/>
                              </w:rPr>
                            </m:ctrlPr>
                          </m:den>
                        </m:f>
                        <m:r>
                          <m:rPr>
                            <m:sty m:val="p"/>
                          </m:rPr>
                          <w:rPr>
                            <w:rFonts w:ascii="Cambria Math" w:hAnsi="Cambria Math"/>
                          </w:rPr>
                          <m:t>∙ln⁡(</m:t>
                        </m:r>
                        <m:f>
                          <m:fPr>
                            <m:ctrlPr>
                              <w:rPr>
                                <w:rFonts w:ascii="Cambria Math" w:hAnsi="Cambria Math"/>
                              </w:rPr>
                            </m:ctrlPr>
                          </m:fPr>
                          <m:num>
                            <m:r>
                              <m:rPr/>
                              <w:rPr>
                                <w:rFonts w:ascii="Cambria Math" w:hAnsi="Cambria Math"/>
                              </w:rPr>
                              <m:t>P</m:t>
                            </m:r>
                            <m:ctrlPr>
                              <w:rPr>
                                <w:rFonts w:ascii="Cambria Math" w:hAnsi="Cambria Math"/>
                              </w:rPr>
                            </m:ctrlPr>
                          </m:num>
                          <m:den>
                            <m:sSub>
                              <m:sSubPr>
                                <m:ctrlPr>
                                  <w:rPr>
                                    <w:rFonts w:ascii="Cambria Math" w:hAnsi="Cambria Math"/>
                                  </w:rPr>
                                </m:ctrlPr>
                              </m:sSubPr>
                              <m:e>
                                <m:r>
                                  <m:rPr/>
                                  <w:rPr>
                                    <w:rFonts w:ascii="Cambria Math" w:hAnsi="Cambria Math"/>
                                  </w:rPr>
                                  <m:t>k</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den>
                        </m:f>
                        <m:r>
                          <m:rPr>
                            <m:sty m:val="p"/>
                          </m:rPr>
                          <w:rPr>
                            <w:rFonts w:ascii="Cambria Math" w:hAnsi="Cambria Math"/>
                          </w:rPr>
                          <m:t>+</m:t>
                        </m:r>
                        <m:sSup>
                          <m:sSupPr>
                            <m:ctrlPr>
                              <w:rPr>
                                <w:rFonts w:ascii="Cambria Math" w:hAnsi="Cambria Math"/>
                              </w:rPr>
                            </m:ctrlPr>
                          </m:sSupPr>
                          <m:e>
                            <m:r>
                              <m:rPr/>
                              <w:rPr>
                                <w:rFonts w:ascii="Cambria Math" w:hAnsi="Cambria Math"/>
                              </w:rPr>
                              <m:t>V</m:t>
                            </m:r>
                            <m:ctrlPr>
                              <w:rPr>
                                <w:rFonts w:ascii="Cambria Math" w:hAnsi="Cambria Math"/>
                              </w:rPr>
                            </m:ctrlPr>
                          </m:e>
                          <m:sup>
                            <m:r>
                              <m:rPr>
                                <m:sty m:val="p"/>
                              </m:rPr>
                              <w:rPr>
                                <w:rFonts w:ascii="Cambria Math" w:hAnsi="Cambria Math"/>
                              </w:rPr>
                              <m:t>3</m:t>
                            </m:r>
                            <m:ctrlPr>
                              <w:rPr>
                                <w:rFonts w:ascii="Cambria Math" w:hAnsi="Cambria Math"/>
                              </w:rPr>
                            </m:ctrlPr>
                          </m:sup>
                        </m:sSup>
                        <m:r>
                          <m:rPr>
                            <m:sty m:val="p"/>
                          </m:rPr>
                          <w:rPr>
                            <w:rFonts w:ascii="Cambria Math" w:hAnsi="Cambria Math"/>
                          </w:rPr>
                          <m:t>)</m:t>
                        </m:r>
                        <m:ctrlPr>
                          <w:rPr>
                            <w:rFonts w:ascii="Cambria Math" w:hAnsi="Cambria Math"/>
                          </w:rPr>
                        </m:ctrlPr>
                      </m:e>
                      <m:sub>
                        <m:r>
                          <m:rPr>
                            <m:sty m:val="p"/>
                          </m:rPr>
                          <w:rPr>
                            <w:rFonts w:ascii="Cambria Math" w:hAnsi="Cambria Math"/>
                          </w:rPr>
                          <m:t>0</m:t>
                        </m:r>
                        <m:ctrlPr>
                          <w:rPr>
                            <w:rFonts w:ascii="Cambria Math" w:hAnsi="Cambria Math"/>
                          </w:rPr>
                        </m:ctrlPr>
                      </m:sub>
                      <m:sup>
                        <m:r>
                          <m:rPr/>
                          <w:rPr>
                            <w:rFonts w:ascii="Cambria Math" w:hAnsi="Cambria Math"/>
                          </w:rPr>
                          <m:t>V</m:t>
                        </m:r>
                        <m:ctrlPr>
                          <w:rPr>
                            <w:rFonts w:ascii="Cambria Math" w:hAnsi="Cambria Math"/>
                          </w:rPr>
                        </m:ctrlPr>
                      </m:sup>
                    </m:sSubSup>
                    <m:ctrlPr>
                      <w:rPr>
                        <w:rFonts w:ascii="Cambria Math" w:hAnsi="Cambria Math"/>
                      </w:rPr>
                    </m:ctrlPr>
                  </m:e>
                </m:d>
                <m:r>
                  <m:rPr>
                    <m:sty m:val="p"/>
                  </m:rPr>
                  <w:rPr>
                    <w:rFonts w:ascii="Cambria Math" w:hAnsi="Cambria Math"/>
                  </w:rPr>
                  <m:t>×1.7241±</m:t>
                </m:r>
                <m:sSub>
                  <m:sSubPr>
                    <m:ctrlPr>
                      <w:rPr>
                        <w:rFonts w:ascii="Cambria Math" w:hAnsi="Cambria Math"/>
                      </w:rPr>
                    </m:ctrlPr>
                  </m:sSubPr>
                  <m:e>
                    <m:r>
                      <m:rPr/>
                      <w:rPr>
                        <w:rFonts w:ascii="Cambria Math" w:hAnsi="Cambria Math"/>
                      </w:rPr>
                      <m:t>V</m:t>
                    </m:r>
                    <m:ctrlPr>
                      <w:rPr>
                        <w:rFonts w:ascii="Cambria Math" w:hAnsi="Cambria Math"/>
                      </w:rPr>
                    </m:ctrlPr>
                  </m:e>
                  <m:sub>
                    <m:r>
                      <m:rPr>
                        <m:sty m:val="p"/>
                      </m:rPr>
                      <w:rPr>
                        <w:rFonts w:ascii="Cambria Math" w:hAnsi="Cambria Math"/>
                      </w:rPr>
                      <m:t>水</m:t>
                    </m:r>
                    <m:ctrlPr>
                      <w:rPr>
                        <w:rFonts w:ascii="Cambria Math" w:hAnsi="Cambria Math"/>
                      </w:rPr>
                    </m:ctrlPr>
                  </m:sub>
                </m:sSub>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w:rPr>
                            <w:rFonts w:ascii="Cambria Math" w:hAnsi="Cambria Math"/>
                          </w:rPr>
                          <m:t>V</m:t>
                        </m:r>
                        <m:ctrlPr>
                          <w:rPr>
                            <w:rFonts w:ascii="Cambria Math" w:hAnsi="Cambria Math"/>
                          </w:rPr>
                        </m:ctrlPr>
                      </m:e>
                      <m:sub>
                        <m:r>
                          <m:rPr>
                            <m:sty m:val="p"/>
                          </m:rPr>
                          <w:rPr>
                            <w:rFonts w:ascii="Cambria Math" w:hAnsi="Cambria Math"/>
                          </w:rPr>
                          <m:t>船</m:t>
                        </m:r>
                        <m:ctrlPr>
                          <w:rPr>
                            <w:rFonts w:ascii="Cambria Math" w:hAnsi="Cambria Math"/>
                          </w:rPr>
                        </m:ctrlPr>
                      </m:sub>
                      <m:sup>
                        <m:r>
                          <m:rPr>
                            <m:sty m:val="p"/>
                          </m:rPr>
                          <w:rPr>
                            <w:rFonts w:ascii="Cambria Math" w:hAnsi="Cambria Math"/>
                          </w:rPr>
                          <m:t>2</m:t>
                        </m:r>
                        <m:ctrlPr>
                          <w:rPr>
                            <w:rFonts w:ascii="Cambria Math" w:hAnsi="Cambria Math"/>
                          </w:rPr>
                        </m:ctrlPr>
                      </m:sup>
                    </m:sSubSup>
                    <m:r>
                      <m:rPr>
                        <m:sty m:val="p"/>
                      </m:rPr>
                      <w:rPr>
                        <w:rFonts w:ascii="Cambria Math" w:hAnsi="Cambria Math"/>
                      </w:rPr>
                      <m:t>∙</m:t>
                    </m:r>
                    <m:r>
                      <m:rPr/>
                      <w:rPr>
                        <w:rFonts w:ascii="Cambria Math" w:hAnsi="Cambria Math"/>
                      </w:rPr>
                      <m:t>m</m:t>
                    </m:r>
                    <m:ctrlPr>
                      <w:rPr>
                        <w:rFonts w:ascii="Cambria Math" w:hAnsi="Cambria Math"/>
                      </w:rPr>
                    </m:ctrlPr>
                  </m:num>
                  <m:den>
                    <m:r>
                      <m:rPr/>
                      <w:rPr>
                        <w:rFonts w:ascii="Cambria Math" w:hAnsi="Cambria Math"/>
                      </w:rPr>
                      <m:t>P</m:t>
                    </m:r>
                    <m:ctrlPr>
                      <w:rPr>
                        <w:rFonts w:ascii="Cambria Math" w:hAnsi="Cambria Math"/>
                      </w:rPr>
                    </m:ctrlPr>
                  </m:den>
                </m:f>
                <m:r>
                  <m:rPr>
                    <m:sty m:val="p"/>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m:sty m:val="p"/>
                      </m:rPr>
                      <w:rPr>
                        <w:rFonts w:ascii="Cambria Math" w:hAnsi="Cambria Math"/>
                      </w:rPr>
                      <m:t>4</m:t>
                    </m:r>
                    <m:ctrlPr>
                      <w:rPr>
                        <w:rFonts w:ascii="Cambria Math" w:hAnsi="Cambria Math"/>
                      </w:rPr>
                    </m:ctrlPr>
                  </m:sub>
                </m:sSub>
              </m:oMath>
            </m:oMathPara>
          </w:p>
        </w:tc>
        <w:tc>
          <w:tcPr>
            <w:tcW w:w="1134" w:type="dxa"/>
            <w:vAlign w:val="center"/>
          </w:tcPr>
          <w:p w14:paraId="01F53918">
            <w:pPr>
              <w:pStyle w:val="175"/>
              <w:widowControl w:val="0"/>
              <w:ind w:firstLine="0" w:firstLineChars="0"/>
              <w:jc w:val="right"/>
            </w:pPr>
            <w:r>
              <w:t>(</w:t>
            </w:r>
            <w:r>
              <w:rPr>
                <w:rFonts w:hint="eastAsia"/>
              </w:rPr>
              <w:t>D.0.</w:t>
            </w:r>
            <w:r>
              <w:t>2-1)</w:t>
            </w:r>
          </w:p>
        </w:tc>
      </w:tr>
      <w:tr w14:paraId="3F45D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34" w:type="dxa"/>
            <w:vAlign w:val="center"/>
          </w:tcPr>
          <w:p w14:paraId="76963075">
            <w:pPr>
              <w:pStyle w:val="175"/>
              <w:widowControl w:val="0"/>
              <w:ind w:firstLine="0" w:firstLineChars="0"/>
              <w:jc w:val="center"/>
            </w:pPr>
          </w:p>
        </w:tc>
        <w:tc>
          <w:tcPr>
            <w:tcW w:w="7030" w:type="dxa"/>
            <w:vAlign w:val="center"/>
          </w:tcPr>
          <w:p w14:paraId="7ACDE931">
            <w:pPr>
              <w:pStyle w:val="175"/>
              <w:widowControl w:val="0"/>
              <w:ind w:firstLine="0" w:firstLineChars="0"/>
              <w:jc w:val="center"/>
            </w:pPr>
            <m:oMathPara>
              <m:oMath>
                <m:sSub>
                  <m:sSubPr>
                    <m:ctrlPr>
                      <w:rPr>
                        <w:rFonts w:ascii="Cambria Math" w:hAnsi="Cambria Math"/>
                      </w:rPr>
                    </m:ctrlPr>
                  </m:sSubPr>
                  <m:e>
                    <m:r>
                      <m:rPr/>
                      <w:rPr>
                        <w:rFonts w:ascii="Cambria Math" w:hAnsi="Cambria Math"/>
                      </w:rPr>
                      <m:t>k</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m:t>
                </m:r>
                <m:f>
                  <m:fPr>
                    <m:ctrlPr>
                      <w:rPr>
                        <w:rFonts w:ascii="Cambria Math" w:hAnsi="Cambria Math"/>
                      </w:rPr>
                    </m:ctrlPr>
                  </m:fPr>
                  <m:num>
                    <m:r>
                      <m:rPr/>
                      <w:rPr>
                        <w:rFonts w:ascii="Cambria Math" w:hAnsi="Cambria Math"/>
                      </w:rPr>
                      <m:t>ρ</m:t>
                    </m:r>
                    <m:ctrlPr>
                      <w:rPr>
                        <w:rFonts w:ascii="Cambria Math" w:hAnsi="Cambria Math"/>
                      </w:rPr>
                    </m:ctrlPr>
                  </m:num>
                  <m:den>
                    <m:r>
                      <m:rPr>
                        <m:sty m:val="p"/>
                      </m:rPr>
                      <w:rPr>
                        <w:rFonts w:ascii="Cambria Math" w:hAnsi="Cambria Math"/>
                      </w:rPr>
                      <m:t>2</m:t>
                    </m:r>
                    <m:ctrlPr>
                      <w:rPr>
                        <w:rFonts w:ascii="Cambria Math" w:hAnsi="Cambria Math"/>
                      </w:rPr>
                    </m:ctrlPr>
                  </m:den>
                </m:f>
                <m:r>
                  <m:rPr>
                    <m:sty m:val="p"/>
                  </m:rPr>
                  <w:rPr>
                    <w:rFonts w:ascii="Cambria Math" w:hAnsi="Cambria Math"/>
                  </w:rPr>
                  <m:t>(0.046</m:t>
                </m:r>
                <m:sSup>
                  <m:sSupPr>
                    <m:ctrlPr>
                      <w:rPr>
                        <w:rFonts w:ascii="Cambria Math" w:hAnsi="Cambria Math"/>
                      </w:rPr>
                    </m:ctrlPr>
                  </m:sSupPr>
                  <m:e>
                    <m:r>
                      <m:rPr>
                        <m:sty m:val="p"/>
                      </m:rPr>
                      <w:rPr>
                        <w:rFonts w:ascii="Cambria Math" w:hAnsi="Cambria Math"/>
                      </w:rPr>
                      <m:t>Re</m:t>
                    </m:r>
                    <m:ctrlPr>
                      <w:rPr>
                        <w:rFonts w:ascii="Cambria Math" w:hAnsi="Cambria Math"/>
                      </w:rPr>
                    </m:ctrlPr>
                  </m:e>
                  <m:sup>
                    <m:r>
                      <m:rPr>
                        <m:sty m:val="p"/>
                      </m:rPr>
                      <w:rPr>
                        <w:rFonts w:ascii="Cambria Math" w:hAnsi="Cambria Math"/>
                      </w:rPr>
                      <m:t>−0.134</m:t>
                    </m:r>
                    <m:ctrlPr>
                      <w:rPr>
                        <w:rFonts w:ascii="Cambria Math" w:hAnsi="Cambria Math"/>
                      </w:rPr>
                    </m:ctrlPr>
                  </m:sup>
                </m:sSup>
                <m:r>
                  <m:rPr>
                    <m:sty m:val="p"/>
                  </m:rPr>
                  <w:rPr>
                    <w:rFonts w:ascii="Cambria Math" w:hAnsi="Cambria Math"/>
                  </w:rPr>
                  <m:t>+</m:t>
                </m:r>
                <m:r>
                  <m:rPr/>
                  <w:rPr>
                    <w:rFonts w:ascii="Cambria Math" w:hAnsi="Cambria Math"/>
                  </w:rPr>
                  <m:t>b</m:t>
                </m:r>
                <m:r>
                  <m:rPr>
                    <m:sty m:val="p"/>
                  </m:rPr>
                  <w:rPr>
                    <w:rFonts w:ascii="Cambria Math" w:hAnsi="Cambria Math"/>
                  </w:rPr>
                  <m:t>)(1.7</m:t>
                </m:r>
                <m:sSub>
                  <m:sSubPr>
                    <m:ctrlPr>
                      <w:rPr>
                        <w:rFonts w:ascii="Cambria Math" w:hAnsi="Cambria Math"/>
                      </w:rPr>
                    </m:ctrlPr>
                  </m:sSubPr>
                  <m:e>
                    <m:r>
                      <m:rPr/>
                      <w:rPr>
                        <w:rFonts w:ascii="Cambria Math" w:hAnsi="Cambria Math"/>
                      </w:rPr>
                      <m:t>L</m:t>
                    </m:r>
                    <m:ctrlPr>
                      <w:rPr>
                        <w:rFonts w:ascii="Cambria Math" w:hAnsi="Cambria Math"/>
                      </w:rPr>
                    </m:ctrlPr>
                  </m:e>
                  <m:sub>
                    <m:r>
                      <m:rPr>
                        <m:sty m:val="p"/>
                      </m:rPr>
                      <w:rPr>
                        <w:rFonts w:ascii="Cambria Math" w:hAnsi="Cambria Math"/>
                      </w:rPr>
                      <m:t>船</m:t>
                    </m:r>
                    <m:ctrlPr>
                      <w:rPr>
                        <w:rFonts w:ascii="Cambria Math" w:hAnsi="Cambria Math"/>
                      </w:rPr>
                    </m:ctrlPr>
                  </m:sub>
                </m:sSub>
                <m:r>
                  <m:rPr/>
                  <w:rPr>
                    <w:rFonts w:ascii="Cambria Math" w:hAnsi="Cambria Math"/>
                  </w:rPr>
                  <m:t>D</m:t>
                </m:r>
                <m:r>
                  <m:rPr>
                    <m:sty m:val="p"/>
                  </m:rPr>
                  <w:rPr>
                    <w:rFonts w:ascii="Cambria Math" w:hAnsi="Cambria Math"/>
                  </w:rPr>
                  <m:t>+</m:t>
                </m:r>
                <m:sSub>
                  <m:sSubPr>
                    <m:ctrlPr>
                      <w:rPr>
                        <w:rFonts w:ascii="Cambria Math" w:hAnsi="Cambria Math"/>
                      </w:rPr>
                    </m:ctrlPr>
                  </m:sSubPr>
                  <m:e>
                    <m:r>
                      <m:rPr/>
                      <w:rPr>
                        <w:rFonts w:ascii="Cambria Math" w:hAnsi="Cambria Math"/>
                      </w:rPr>
                      <m:t>C</m:t>
                    </m:r>
                    <m:ctrlPr>
                      <w:rPr>
                        <w:rFonts w:ascii="Cambria Math" w:hAnsi="Cambria Math"/>
                      </w:rPr>
                    </m:ctrlPr>
                  </m:e>
                  <m:sub>
                    <m:r>
                      <m:rPr/>
                      <w:rPr>
                        <w:rFonts w:ascii="Cambria Math" w:hAnsi="Cambria Math"/>
                      </w:rPr>
                      <m:t>b</m:t>
                    </m:r>
                    <m:ctrlPr>
                      <w:rPr>
                        <w:rFonts w:ascii="Cambria Math" w:hAnsi="Cambria Math"/>
                      </w:rPr>
                    </m:ctrlPr>
                  </m:sub>
                </m:sSub>
                <m:sSub>
                  <m:sSubPr>
                    <m:ctrlPr>
                      <w:rPr>
                        <w:rFonts w:ascii="Cambria Math" w:hAnsi="Cambria Math"/>
                      </w:rPr>
                    </m:ctrlPr>
                  </m:sSubPr>
                  <m:e>
                    <m:r>
                      <m:rPr/>
                      <w:rPr>
                        <w:rFonts w:ascii="Cambria Math" w:hAnsi="Cambria Math"/>
                      </w:rPr>
                      <m:t>L</m:t>
                    </m:r>
                    <m:ctrlPr>
                      <w:rPr>
                        <w:rFonts w:ascii="Cambria Math" w:hAnsi="Cambria Math"/>
                      </w:rPr>
                    </m:ctrlPr>
                  </m:e>
                  <m:sub>
                    <m:r>
                      <m:rPr>
                        <m:sty m:val="p"/>
                      </m:rPr>
                      <w:rPr>
                        <w:rFonts w:ascii="Cambria Math" w:hAnsi="Cambria Math"/>
                      </w:rPr>
                      <m:t>船</m:t>
                    </m:r>
                    <m:ctrlPr>
                      <w:rPr>
                        <w:rFonts w:ascii="Cambria Math" w:hAnsi="Cambria Math"/>
                      </w:rPr>
                    </m:ctrlPr>
                  </m:sub>
                </m:sSub>
                <m:r>
                  <m:rPr/>
                  <w:rPr>
                    <w:rFonts w:ascii="Cambria Math" w:hAnsi="Cambria Math"/>
                  </w:rPr>
                  <m:t>B</m:t>
                </m:r>
                <m:r>
                  <m:rPr>
                    <m:sty m:val="p"/>
                  </m:rPr>
                  <w:rPr>
                    <w:rFonts w:ascii="Cambria Math" w:hAnsi="Cambria Math"/>
                  </w:rPr>
                  <m:t>)</m:t>
                </m:r>
              </m:oMath>
            </m:oMathPara>
          </w:p>
        </w:tc>
        <w:tc>
          <w:tcPr>
            <w:tcW w:w="1134" w:type="dxa"/>
            <w:vAlign w:val="center"/>
          </w:tcPr>
          <w:p w14:paraId="48780432">
            <w:pPr>
              <w:pStyle w:val="175"/>
              <w:widowControl w:val="0"/>
              <w:ind w:firstLine="0" w:firstLineChars="0"/>
              <w:jc w:val="right"/>
            </w:pPr>
            <w:r>
              <w:t>(</w:t>
            </w:r>
            <w:r>
              <w:rPr>
                <w:rFonts w:hint="eastAsia"/>
              </w:rPr>
              <w:t>D.0.</w:t>
            </w:r>
            <w:r>
              <w:t>2-2)</w:t>
            </w:r>
          </w:p>
        </w:tc>
      </w:tr>
      <w:tr w14:paraId="76E8B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34" w:type="dxa"/>
            <w:vAlign w:val="center"/>
          </w:tcPr>
          <w:p w14:paraId="74FD8508">
            <w:pPr>
              <w:pStyle w:val="175"/>
              <w:widowControl w:val="0"/>
              <w:ind w:firstLine="0" w:firstLineChars="0"/>
              <w:jc w:val="center"/>
            </w:pPr>
          </w:p>
        </w:tc>
        <w:tc>
          <w:tcPr>
            <w:tcW w:w="7030" w:type="dxa"/>
            <w:vAlign w:val="center"/>
          </w:tcPr>
          <w:p w14:paraId="3CE571FA">
            <w:pPr>
              <w:pStyle w:val="175"/>
              <w:widowControl w:val="0"/>
              <w:ind w:firstLine="0" w:firstLineChars="0"/>
              <w:jc w:val="center"/>
            </w:pPr>
            <m:oMathPara>
              <m:oMath>
                <m:r>
                  <m:rPr>
                    <m:sty m:val="p"/>
                  </m:rPr>
                  <w:rPr>
                    <w:rFonts w:ascii="Cambria Math" w:hAnsi="Cambria Math"/>
                  </w:rPr>
                  <m:t>Re=</m:t>
                </m:r>
                <m:f>
                  <m:fPr>
                    <m:ctrlPr>
                      <w:rPr>
                        <w:rFonts w:ascii="Cambria Math" w:hAnsi="Cambria Math"/>
                        <w:sz w:val="22"/>
                      </w:rPr>
                    </m:ctrlPr>
                  </m:fPr>
                  <m:num>
                    <m:r>
                      <m:rPr/>
                      <w:rPr>
                        <w:rFonts w:ascii="Cambria Math" w:hAnsi="Cambria Math"/>
                      </w:rPr>
                      <m:t>V</m:t>
                    </m:r>
                    <m:sSub>
                      <m:sSubPr>
                        <m:ctrlPr>
                          <w:rPr>
                            <w:rFonts w:ascii="Cambria Math" w:hAnsi="Cambria Math"/>
                          </w:rPr>
                        </m:ctrlPr>
                      </m:sSubPr>
                      <m:e>
                        <m:r>
                          <m:rPr/>
                          <w:rPr>
                            <w:rFonts w:ascii="Cambria Math" w:hAnsi="Cambria Math"/>
                          </w:rPr>
                          <m:t>L</m:t>
                        </m:r>
                        <m:ctrlPr>
                          <w:rPr>
                            <w:rFonts w:ascii="Cambria Math" w:hAnsi="Cambria Math"/>
                          </w:rPr>
                        </m:ctrlPr>
                      </m:e>
                      <m:sub>
                        <m:r>
                          <m:rPr>
                            <m:sty m:val="p"/>
                          </m:rPr>
                          <w:rPr>
                            <w:rFonts w:ascii="Cambria Math" w:hAnsi="Cambria Math"/>
                          </w:rPr>
                          <m:t>船</m:t>
                        </m:r>
                        <m:ctrlPr>
                          <w:rPr>
                            <w:rFonts w:ascii="Cambria Math" w:hAnsi="Cambria Math"/>
                          </w:rPr>
                        </m:ctrlPr>
                      </m:sub>
                    </m:sSub>
                    <m:ctrlPr>
                      <w:rPr>
                        <w:rFonts w:ascii="Cambria Math" w:hAnsi="Cambria Math"/>
                        <w:sz w:val="22"/>
                      </w:rPr>
                    </m:ctrlPr>
                  </m:num>
                  <m:den>
                    <m:r>
                      <m:rPr/>
                      <w:rPr>
                        <w:rFonts w:ascii="Cambria Math" w:hAnsi="Cambria Math"/>
                      </w:rPr>
                      <m:t>ν</m:t>
                    </m:r>
                    <m:ctrlPr>
                      <w:rPr>
                        <w:rFonts w:ascii="Cambria Math" w:hAnsi="Cambria Math"/>
                        <w:sz w:val="22"/>
                      </w:rPr>
                    </m:ctrlPr>
                  </m:den>
                </m:f>
              </m:oMath>
            </m:oMathPara>
          </w:p>
        </w:tc>
        <w:tc>
          <w:tcPr>
            <w:tcW w:w="1134" w:type="dxa"/>
            <w:vAlign w:val="center"/>
          </w:tcPr>
          <w:p w14:paraId="49525737">
            <w:pPr>
              <w:pStyle w:val="175"/>
              <w:widowControl w:val="0"/>
              <w:ind w:firstLine="0" w:firstLineChars="0"/>
              <w:jc w:val="right"/>
            </w:pPr>
            <w:r>
              <w:t>(</w:t>
            </w:r>
            <w:r>
              <w:rPr>
                <w:rFonts w:hint="eastAsia"/>
              </w:rPr>
              <w:t>D.0.</w:t>
            </w:r>
            <w:r>
              <w:t>2-3)</w:t>
            </w:r>
          </w:p>
        </w:tc>
      </w:tr>
    </w:tbl>
    <w:p w14:paraId="5EB4BBB2">
      <w:pPr>
        <w:pStyle w:val="170"/>
        <w:ind w:left="420" w:leftChars="200"/>
      </w:pPr>
      <w:r>
        <w:t>式中：</w:t>
      </w:r>
    </w:p>
    <w:p w14:paraId="56919559">
      <w:pPr>
        <w:pStyle w:val="170"/>
        <w:ind w:left="420" w:leftChars="200"/>
      </w:pPr>
      <m:oMath>
        <m:sSub>
          <m:sSubPr>
            <m:ctrlPr>
              <w:rPr>
                <w:rFonts w:ascii="Cambria Math" w:hAnsi="Cambria Math"/>
                <w:i/>
              </w:rPr>
            </m:ctrlPr>
          </m:sSubPr>
          <m:e>
            <m:r>
              <m:rPr/>
              <w:rPr>
                <w:rFonts w:ascii="Cambria Math" w:hAnsi="Cambria Math"/>
              </w:rPr>
              <m:t>L</m:t>
            </m:r>
            <m:ctrlPr>
              <w:rPr>
                <w:rFonts w:ascii="Cambria Math" w:hAnsi="Cambria Math"/>
                <w:i/>
              </w:rPr>
            </m:ctrlPr>
          </m:e>
          <m:sub>
            <m:r>
              <m:rPr>
                <m:sty m:val="p"/>
              </m:rPr>
              <w:rPr>
                <w:rFonts w:ascii="Cambria Math" w:hAnsi="Cambria Math"/>
              </w:rPr>
              <m:t>船</m:t>
            </m:r>
            <m:ctrlPr>
              <w:rPr>
                <w:rFonts w:ascii="Cambria Math" w:hAnsi="Cambria Math"/>
                <w:i/>
              </w:rPr>
            </m:ctrlPr>
          </m:sub>
        </m:sSub>
      </m:oMath>
      <w:r>
        <w:t>——船舶长度（m）；</w:t>
      </w:r>
    </w:p>
    <w:p w14:paraId="2A1B5093">
      <w:pPr>
        <w:pStyle w:val="170"/>
        <w:ind w:left="420" w:leftChars="200"/>
      </w:pPr>
      <m:oMath>
        <m:r>
          <m:rPr/>
          <w:rPr>
            <w:rFonts w:ascii="Cambria Math" w:hAnsi="Cambria Math"/>
          </w:rPr>
          <m:t>m</m:t>
        </m:r>
      </m:oMath>
      <w:r>
        <w:rPr>
          <w:iCs/>
        </w:rPr>
        <w:t xml:space="preserve"> </w:t>
      </w:r>
      <w:r>
        <w:t>——船舶质量（t）；</w:t>
      </w:r>
    </w:p>
    <w:p w14:paraId="74EED7B0">
      <w:pPr>
        <w:pStyle w:val="170"/>
        <w:ind w:left="420" w:leftChars="200"/>
      </w:pPr>
      <m:oMath>
        <m:sSub>
          <m:sSubPr>
            <m:ctrlPr>
              <w:rPr>
                <w:rFonts w:ascii="Cambria Math" w:hAnsi="Cambria Math"/>
              </w:rPr>
            </m:ctrlPr>
          </m:sSubPr>
          <m:e>
            <m:r>
              <m:rPr/>
              <w:rPr>
                <w:rFonts w:ascii="Cambria Math" w:hAnsi="Cambria Math"/>
              </w:rPr>
              <m:t>k</m:t>
            </m:r>
            <m:ctrlPr>
              <w:rPr>
                <w:rFonts w:ascii="Cambria Math" w:hAnsi="Cambria Math"/>
              </w:rPr>
            </m:ctrlPr>
          </m:e>
          <m:sub>
            <m:r>
              <m:rPr>
                <m:sty m:val="p"/>
              </m:rPr>
              <w:rPr>
                <w:rFonts w:ascii="Cambria Math" w:hAnsi="Cambria Math"/>
              </w:rPr>
              <m:t xml:space="preserve">1  </m:t>
            </m:r>
            <m:ctrlPr>
              <w:rPr>
                <w:rFonts w:ascii="Cambria Math" w:hAnsi="Cambria Math"/>
              </w:rPr>
            </m:ctrlPr>
          </m:sub>
        </m:sSub>
      </m:oMath>
      <w:r>
        <w:t>——风荷载系数，可忽略；</w:t>
      </w:r>
    </w:p>
    <w:p w14:paraId="09D5754D">
      <w:pPr>
        <w:pStyle w:val="170"/>
        <w:ind w:left="420" w:leftChars="200"/>
      </w:pPr>
      <m:oMath>
        <m:sSub>
          <m:sSubPr>
            <m:ctrlPr>
              <w:rPr>
                <w:rFonts w:ascii="Cambria Math" w:hAnsi="Cambria Math"/>
              </w:rPr>
            </m:ctrlPr>
          </m:sSubPr>
          <m:e>
            <m:r>
              <m:rPr/>
              <w:rPr>
                <w:rFonts w:ascii="Cambria Math" w:hAnsi="Cambria Math"/>
              </w:rPr>
              <m:t>k</m:t>
            </m:r>
            <m:ctrlPr>
              <w:rPr>
                <w:rFonts w:ascii="Cambria Math" w:hAnsi="Cambria Math"/>
              </w:rPr>
            </m:ctrlPr>
          </m:e>
          <m:sub>
            <m:r>
              <m:rPr>
                <m:sty m:val="p"/>
              </m:rPr>
              <w:rPr>
                <w:rFonts w:ascii="Cambria Math" w:hAnsi="Cambria Math"/>
              </w:rPr>
              <m:t xml:space="preserve">2  </m:t>
            </m:r>
            <m:ctrlPr>
              <w:rPr>
                <w:rFonts w:ascii="Cambria Math" w:hAnsi="Cambria Math"/>
              </w:rPr>
            </m:ctrlPr>
          </m:sub>
        </m:sSub>
      </m:oMath>
      <w:r>
        <w:t>——水流力系数；</w:t>
      </w:r>
    </w:p>
    <w:p w14:paraId="5D01AFE9">
      <w:pPr>
        <w:pStyle w:val="170"/>
        <w:ind w:left="420" w:leftChars="200"/>
      </w:pPr>
      <m:oMath>
        <m:r>
          <m:rPr/>
          <w:rPr>
            <w:rFonts w:ascii="Cambria Math" w:hAnsi="Cambria Math"/>
          </w:rPr>
          <m:t xml:space="preserve">P   </m:t>
        </m:r>
      </m:oMath>
      <w:r>
        <w:t>——船舶主机功率（kW）;</w:t>
      </w:r>
    </w:p>
    <w:p w14:paraId="24C66C8A">
      <w:pPr>
        <w:pStyle w:val="170"/>
        <w:ind w:left="420" w:leftChars="200"/>
      </w:pPr>
      <m:oMath>
        <m:r>
          <m:rPr/>
          <w:rPr>
            <w:rFonts w:ascii="Cambria Math" w:hAnsi="Cambria Math"/>
          </w:rPr>
          <m:t xml:space="preserve">V   </m:t>
        </m:r>
      </m:oMath>
      <w:r>
        <w:t>——船舶相对水流速度（m/s）；</w:t>
      </w:r>
    </w:p>
    <w:p w14:paraId="6B3EBD60">
      <w:pPr>
        <w:pStyle w:val="170"/>
        <w:ind w:left="420" w:leftChars="200"/>
      </w:pPr>
      <m:oMath>
        <m:sSub>
          <m:sSubPr>
            <m:ctrlPr>
              <w:rPr>
                <w:rFonts w:ascii="Cambria Math" w:hAnsi="Cambria Math"/>
              </w:rPr>
            </m:ctrlPr>
          </m:sSubPr>
          <m:e>
            <m:r>
              <m:rPr/>
              <w:rPr>
                <w:rFonts w:ascii="Cambria Math" w:hAnsi="Cambria Math"/>
              </w:rPr>
              <m:t>V</m:t>
            </m:r>
            <m:ctrlPr>
              <w:rPr>
                <w:rFonts w:ascii="Cambria Math" w:hAnsi="Cambria Math"/>
              </w:rPr>
            </m:ctrlPr>
          </m:e>
          <m:sub>
            <m:r>
              <m:rPr>
                <m:sty m:val="p"/>
              </m:rPr>
              <w:rPr>
                <w:rFonts w:ascii="Cambria Math" w:hAnsi="Cambria Math"/>
              </w:rPr>
              <m:t xml:space="preserve">水 </m:t>
            </m:r>
            <m:ctrlPr>
              <w:rPr>
                <w:rFonts w:ascii="Cambria Math" w:hAnsi="Cambria Math"/>
              </w:rPr>
            </m:ctrlPr>
          </m:sub>
        </m:sSub>
      </m:oMath>
      <w:r>
        <w:t>——水流速度（m/s）；</w:t>
      </w:r>
    </w:p>
    <w:p w14:paraId="60F40482">
      <w:pPr>
        <w:pStyle w:val="170"/>
        <w:ind w:left="420" w:leftChars="200"/>
      </w:pPr>
      <m:oMath>
        <m:sSub>
          <m:sSubPr>
            <m:ctrlPr>
              <w:rPr>
                <w:rFonts w:ascii="Cambria Math" w:hAnsi="Cambria Math"/>
              </w:rPr>
            </m:ctrlPr>
          </m:sSubPr>
          <m:e>
            <m:r>
              <m:rPr/>
              <w:rPr>
                <w:rFonts w:ascii="Cambria Math" w:hAnsi="Cambria Math"/>
              </w:rPr>
              <m:t>V</m:t>
            </m:r>
            <m:ctrlPr>
              <w:rPr>
                <w:rFonts w:ascii="Cambria Math" w:hAnsi="Cambria Math"/>
              </w:rPr>
            </m:ctrlPr>
          </m:e>
          <m:sub>
            <m:r>
              <m:rPr>
                <m:sty m:val="p"/>
              </m:rPr>
              <w:rPr>
                <w:rFonts w:ascii="Cambria Math" w:hAnsi="Cambria Math"/>
              </w:rPr>
              <m:t xml:space="preserve">船 </m:t>
            </m:r>
            <m:ctrlPr>
              <w:rPr>
                <w:rFonts w:ascii="Cambria Math" w:hAnsi="Cambria Math"/>
              </w:rPr>
            </m:ctrlPr>
          </m:sub>
        </m:sSub>
      </m:oMath>
      <w:r>
        <w:t>——船舶在静水中的行驶速度（m/s）；</w:t>
      </w:r>
    </w:p>
    <w:p w14:paraId="0C5DDA27">
      <w:pPr>
        <w:pStyle w:val="170"/>
        <w:ind w:left="420" w:leftChars="200"/>
      </w:pPr>
      <m:oMath>
        <m:r>
          <m:rPr/>
          <w:rPr>
            <w:rFonts w:ascii="Cambria Math" w:hAnsi="Cambria Math"/>
          </w:rPr>
          <m:t xml:space="preserve">ρ   </m:t>
        </m:r>
      </m:oMath>
      <w:r>
        <w:t>——水的密度（t/m</w:t>
      </w:r>
      <w:r>
        <w:rPr>
          <w:vertAlign w:val="superscript"/>
        </w:rPr>
        <w:t>3</w:t>
      </w:r>
      <w:r>
        <w:t>）；</w:t>
      </w:r>
    </w:p>
    <w:p w14:paraId="0786C55D">
      <w:pPr>
        <w:pStyle w:val="170"/>
        <w:ind w:left="420" w:leftChars="200"/>
      </w:pPr>
      <m:oMath>
        <m:r>
          <m:rPr/>
          <w:rPr>
            <w:rFonts w:ascii="Cambria Math" w:hAnsi="Cambria Math"/>
          </w:rPr>
          <m:t xml:space="preserve">Re </m:t>
        </m:r>
      </m:oMath>
      <w:r>
        <w:t>——水流对船舶作用的雷诺数；</w:t>
      </w:r>
    </w:p>
    <w:p w14:paraId="584E474B">
      <w:pPr>
        <w:pStyle w:val="170"/>
        <w:ind w:left="420" w:leftChars="200"/>
      </w:pPr>
      <m:oMath>
        <m:r>
          <m:rPr/>
          <w:rPr>
            <w:rFonts w:ascii="Cambria Math" w:hAnsi="Cambria Math"/>
          </w:rPr>
          <m:t xml:space="preserve">b </m:t>
        </m:r>
      </m:oMath>
      <w:r>
        <w:rPr>
          <w:iCs/>
        </w:rPr>
        <w:t xml:space="preserve"> </w:t>
      </w:r>
      <w:r>
        <w:t>——系数，取0.009；</w:t>
      </w:r>
    </w:p>
    <w:p w14:paraId="4E11DF2A">
      <w:pPr>
        <w:pStyle w:val="170"/>
        <w:ind w:left="420" w:leftChars="200"/>
      </w:pPr>
      <m:oMath>
        <m:r>
          <m:rPr/>
          <w:rPr>
            <w:rFonts w:ascii="Cambria Math" w:hAnsi="Cambria Math"/>
          </w:rPr>
          <m:t xml:space="preserve">D   </m:t>
        </m:r>
      </m:oMath>
      <w:r>
        <w:t>——船舶吃水深度（m）;</w:t>
      </w:r>
    </w:p>
    <w:p w14:paraId="1EAB1CB6">
      <w:pPr>
        <w:pStyle w:val="170"/>
        <w:ind w:left="420" w:leftChars="200"/>
      </w:pPr>
      <m:oMath>
        <m:sSub>
          <m:sSubPr>
            <m:ctrlPr>
              <w:rPr>
                <w:rFonts w:ascii="Cambria Math" w:hAnsi="Cambria Math"/>
              </w:rPr>
            </m:ctrlPr>
          </m:sSubPr>
          <m:e>
            <m:r>
              <m:rPr/>
              <w:rPr>
                <w:rFonts w:ascii="Cambria Math" w:hAnsi="Cambria Math"/>
              </w:rPr>
              <m:t>C</m:t>
            </m:r>
            <m:ctrlPr>
              <w:rPr>
                <w:rFonts w:ascii="Cambria Math" w:hAnsi="Cambria Math"/>
              </w:rPr>
            </m:ctrlPr>
          </m:e>
          <m:sub>
            <m:r>
              <m:rPr/>
              <w:rPr>
                <w:rFonts w:ascii="Cambria Math" w:hAnsi="Cambria Math"/>
              </w:rPr>
              <m:t>b</m:t>
            </m:r>
            <m:ctrlPr>
              <w:rPr>
                <w:rFonts w:ascii="Cambria Math" w:hAnsi="Cambria Math"/>
              </w:rPr>
            </m:ctrlPr>
          </m:sub>
        </m:sSub>
        <m:r>
          <m:rPr/>
          <w:rPr>
            <w:rFonts w:ascii="Cambria Math" w:hAnsi="Cambria Math"/>
          </w:rPr>
          <m:t xml:space="preserve"> </m:t>
        </m:r>
      </m:oMath>
      <w:r>
        <w:t>——船舶方形系数，货船取为0.835；</w:t>
      </w:r>
    </w:p>
    <w:p w14:paraId="25792C6A">
      <w:pPr>
        <w:pStyle w:val="170"/>
        <w:ind w:left="420" w:leftChars="200"/>
      </w:pPr>
      <m:oMath>
        <m:r>
          <m:rPr/>
          <w:rPr>
            <w:rFonts w:ascii="Cambria Math" w:hAnsi="Cambria Math"/>
          </w:rPr>
          <m:t xml:space="preserve">B   </m:t>
        </m:r>
      </m:oMath>
      <w:r>
        <w:t>——船舶宽度（m）;</w:t>
      </w:r>
    </w:p>
    <w:p w14:paraId="34A99E1F">
      <w:pPr>
        <w:pStyle w:val="170"/>
        <w:ind w:left="420" w:leftChars="200"/>
      </w:pPr>
      <m:oMath>
        <m:r>
          <m:rPr/>
          <w:rPr>
            <w:rFonts w:ascii="Cambria Math" w:hAnsi="Cambria Math"/>
          </w:rPr>
          <m:t xml:space="preserve">ν   </m:t>
        </m:r>
      </m:oMath>
      <w:r>
        <w:t>——水运动粘性系数，取1.31×10</w:t>
      </w:r>
      <w:r>
        <w:rPr>
          <w:vertAlign w:val="superscript"/>
        </w:rPr>
        <w:t>-4</w:t>
      </w:r>
      <w:r>
        <w:t>m</w:t>
      </w:r>
      <w:r>
        <w:rPr>
          <w:vertAlign w:val="superscript"/>
        </w:rPr>
        <w:t>2</w:t>
      </w:r>
      <w:r>
        <w:t>/s。</w:t>
      </w:r>
    </w:p>
    <w:p w14:paraId="6A23ED44">
      <w:pPr>
        <w:pStyle w:val="170"/>
        <w:ind w:left="420" w:leftChars="200"/>
      </w:pPr>
    </w:p>
    <w:p w14:paraId="788D47C6">
      <w:pPr>
        <w:pStyle w:val="170"/>
      </w:pPr>
      <w:r>
        <w:rPr>
          <w:rFonts w:hint="eastAsia"/>
          <w:b/>
          <w:bCs/>
        </w:rPr>
        <w:t>D.0.4</w:t>
      </w:r>
      <w:r>
        <w:rPr>
          <w:rFonts w:hint="eastAsia"/>
        </w:rPr>
        <w:t>　若无详细统计资料计算构筑物的防船撞安全距离，可参考表D.1 进行设置，但应通过监测数据进行修正。</w:t>
      </w:r>
    </w:p>
    <w:p w14:paraId="57CBF552">
      <w:pPr>
        <w:pStyle w:val="171"/>
      </w:pPr>
      <w:r>
        <w:rPr>
          <w:rFonts w:hint="eastAsia"/>
        </w:rPr>
        <w:t>表D.1  防船撞安全距离参考表</w:t>
      </w:r>
    </w:p>
    <w:tbl>
      <w:tblPr>
        <w:tblStyle w:val="36"/>
        <w:tblW w:w="693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Layout w:type="fixed"/>
        <w:tblCellMar>
          <w:top w:w="0" w:type="dxa"/>
          <w:left w:w="100" w:type="dxa"/>
          <w:bottom w:w="0" w:type="dxa"/>
          <w:right w:w="100" w:type="dxa"/>
        </w:tblCellMar>
      </w:tblPr>
      <w:tblGrid>
        <w:gridCol w:w="1408"/>
        <w:gridCol w:w="1051"/>
        <w:gridCol w:w="1051"/>
        <w:gridCol w:w="1052"/>
        <w:gridCol w:w="1051"/>
        <w:gridCol w:w="1318"/>
      </w:tblGrid>
      <w:tr w14:paraId="1EE31667">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0" w:type="dxa"/>
            <w:bottom w:w="0" w:type="dxa"/>
            <w:right w:w="100" w:type="dxa"/>
          </w:tblCellMar>
        </w:tblPrEx>
        <w:trPr>
          <w:jc w:val="center"/>
        </w:trPr>
        <w:tc>
          <w:tcPr>
            <w:tcW w:w="1408" w:type="dxa"/>
            <w:vAlign w:val="center"/>
          </w:tcPr>
          <w:p w14:paraId="4C5FDFAA">
            <w:pPr>
              <w:pStyle w:val="168"/>
              <w:widowControl w:val="0"/>
              <w:rPr>
                <w:sz w:val="21"/>
                <w:szCs w:val="21"/>
              </w:rPr>
            </w:pPr>
            <w:r>
              <w:rPr>
                <w:sz w:val="21"/>
                <w:szCs w:val="21"/>
              </w:rPr>
              <w:t>航道等级</w:t>
            </w:r>
          </w:p>
        </w:tc>
        <w:tc>
          <w:tcPr>
            <w:tcW w:w="1051" w:type="dxa"/>
            <w:vAlign w:val="center"/>
          </w:tcPr>
          <w:p w14:paraId="151462D0">
            <w:pPr>
              <w:pStyle w:val="168"/>
              <w:widowControl w:val="0"/>
              <w:rPr>
                <w:sz w:val="21"/>
                <w:szCs w:val="21"/>
              </w:rPr>
            </w:pPr>
            <w:r>
              <w:rPr>
                <w:sz w:val="21"/>
                <w:szCs w:val="21"/>
              </w:rPr>
              <w:t>I 级</w:t>
            </w:r>
          </w:p>
        </w:tc>
        <w:tc>
          <w:tcPr>
            <w:tcW w:w="1051" w:type="dxa"/>
            <w:vAlign w:val="center"/>
          </w:tcPr>
          <w:p w14:paraId="4A1F882C">
            <w:pPr>
              <w:pStyle w:val="168"/>
              <w:widowControl w:val="0"/>
              <w:rPr>
                <w:sz w:val="21"/>
                <w:szCs w:val="21"/>
              </w:rPr>
            </w:pPr>
            <w:r>
              <w:rPr>
                <w:sz w:val="21"/>
                <w:szCs w:val="21"/>
              </w:rPr>
              <w:t>Ⅱ 级</w:t>
            </w:r>
          </w:p>
        </w:tc>
        <w:tc>
          <w:tcPr>
            <w:tcW w:w="1052" w:type="dxa"/>
            <w:vAlign w:val="center"/>
          </w:tcPr>
          <w:p w14:paraId="36B7EC2F">
            <w:pPr>
              <w:pStyle w:val="168"/>
              <w:widowControl w:val="0"/>
              <w:rPr>
                <w:sz w:val="21"/>
                <w:szCs w:val="21"/>
              </w:rPr>
            </w:pPr>
            <w:r>
              <w:rPr>
                <w:sz w:val="21"/>
                <w:szCs w:val="21"/>
              </w:rPr>
              <w:t>Ⅲ 级</w:t>
            </w:r>
          </w:p>
        </w:tc>
        <w:tc>
          <w:tcPr>
            <w:tcW w:w="1051" w:type="dxa"/>
            <w:vAlign w:val="center"/>
          </w:tcPr>
          <w:p w14:paraId="48EC85A4">
            <w:pPr>
              <w:pStyle w:val="168"/>
              <w:widowControl w:val="0"/>
              <w:rPr>
                <w:sz w:val="21"/>
                <w:szCs w:val="21"/>
              </w:rPr>
            </w:pPr>
            <w:r>
              <w:rPr>
                <w:sz w:val="21"/>
                <w:szCs w:val="21"/>
              </w:rPr>
              <w:t>Ⅳ 级</w:t>
            </w:r>
          </w:p>
        </w:tc>
        <w:tc>
          <w:tcPr>
            <w:tcW w:w="1318" w:type="dxa"/>
            <w:vAlign w:val="center"/>
          </w:tcPr>
          <w:p w14:paraId="34CFB1C1">
            <w:pPr>
              <w:pStyle w:val="168"/>
              <w:widowControl w:val="0"/>
              <w:rPr>
                <w:sz w:val="21"/>
                <w:szCs w:val="21"/>
              </w:rPr>
            </w:pPr>
            <w:r>
              <w:rPr>
                <w:sz w:val="21"/>
                <w:szCs w:val="21"/>
              </w:rPr>
              <w:t>V 级及以下</w:t>
            </w:r>
          </w:p>
        </w:tc>
      </w:tr>
      <w:tr w14:paraId="751A242D">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0" w:type="dxa"/>
            <w:bottom w:w="0" w:type="dxa"/>
            <w:right w:w="100" w:type="dxa"/>
          </w:tblCellMar>
        </w:tblPrEx>
        <w:trPr>
          <w:jc w:val="center"/>
        </w:trPr>
        <w:tc>
          <w:tcPr>
            <w:tcW w:w="1408" w:type="dxa"/>
            <w:vAlign w:val="center"/>
          </w:tcPr>
          <w:p w14:paraId="08DF265E">
            <w:pPr>
              <w:pStyle w:val="168"/>
              <w:widowControl w:val="0"/>
              <w:rPr>
                <w:i/>
                <w:iCs/>
                <w:sz w:val="21"/>
                <w:szCs w:val="21"/>
              </w:rPr>
            </w:pPr>
            <w:r>
              <w:rPr>
                <w:i/>
                <w:iCs/>
                <w:sz w:val="21"/>
                <w:szCs w:val="21"/>
              </w:rPr>
              <w:t>S</w:t>
            </w:r>
          </w:p>
        </w:tc>
        <w:tc>
          <w:tcPr>
            <w:tcW w:w="1051" w:type="dxa"/>
            <w:vAlign w:val="center"/>
          </w:tcPr>
          <w:p w14:paraId="73CF996B">
            <w:pPr>
              <w:pStyle w:val="168"/>
              <w:widowControl w:val="0"/>
              <w:rPr>
                <w:sz w:val="21"/>
                <w:szCs w:val="21"/>
              </w:rPr>
            </w:pPr>
            <w:r>
              <w:rPr>
                <w:sz w:val="21"/>
                <w:szCs w:val="21"/>
              </w:rPr>
              <w:t>1270m</w:t>
            </w:r>
          </w:p>
        </w:tc>
        <w:tc>
          <w:tcPr>
            <w:tcW w:w="1051" w:type="dxa"/>
            <w:vAlign w:val="center"/>
          </w:tcPr>
          <w:p w14:paraId="7E3DA3B1">
            <w:pPr>
              <w:pStyle w:val="168"/>
              <w:widowControl w:val="0"/>
              <w:rPr>
                <w:sz w:val="21"/>
                <w:szCs w:val="21"/>
              </w:rPr>
            </w:pPr>
            <w:r>
              <w:rPr>
                <w:sz w:val="21"/>
                <w:szCs w:val="21"/>
              </w:rPr>
              <w:t>1080m</w:t>
            </w:r>
          </w:p>
        </w:tc>
        <w:tc>
          <w:tcPr>
            <w:tcW w:w="1052" w:type="dxa"/>
            <w:vAlign w:val="center"/>
          </w:tcPr>
          <w:p w14:paraId="1DBDA707">
            <w:pPr>
              <w:pStyle w:val="168"/>
              <w:widowControl w:val="0"/>
              <w:rPr>
                <w:sz w:val="21"/>
                <w:szCs w:val="21"/>
              </w:rPr>
            </w:pPr>
            <w:r>
              <w:rPr>
                <w:sz w:val="21"/>
                <w:szCs w:val="21"/>
              </w:rPr>
              <w:t>960m</w:t>
            </w:r>
          </w:p>
        </w:tc>
        <w:tc>
          <w:tcPr>
            <w:tcW w:w="1051" w:type="dxa"/>
            <w:vAlign w:val="center"/>
          </w:tcPr>
          <w:p w14:paraId="0FBD7669">
            <w:pPr>
              <w:pStyle w:val="168"/>
              <w:widowControl w:val="0"/>
              <w:rPr>
                <w:sz w:val="21"/>
                <w:szCs w:val="21"/>
              </w:rPr>
            </w:pPr>
            <w:r>
              <w:rPr>
                <w:sz w:val="21"/>
                <w:szCs w:val="21"/>
              </w:rPr>
              <w:t>670m</w:t>
            </w:r>
          </w:p>
        </w:tc>
        <w:tc>
          <w:tcPr>
            <w:tcW w:w="1318" w:type="dxa"/>
            <w:vAlign w:val="center"/>
          </w:tcPr>
          <w:p w14:paraId="72745CD4">
            <w:pPr>
              <w:pStyle w:val="168"/>
              <w:widowControl w:val="0"/>
              <w:rPr>
                <w:sz w:val="21"/>
                <w:szCs w:val="21"/>
              </w:rPr>
            </w:pPr>
            <w:r>
              <w:rPr>
                <w:sz w:val="21"/>
                <w:szCs w:val="21"/>
              </w:rPr>
              <w:t>380m</w:t>
            </w:r>
          </w:p>
        </w:tc>
      </w:tr>
    </w:tbl>
    <w:p w14:paraId="7D183F2C">
      <w:pPr>
        <w:pStyle w:val="170"/>
      </w:pPr>
      <w:r>
        <w:br w:type="page"/>
      </w:r>
    </w:p>
    <w:p w14:paraId="2BE46B14">
      <w:pPr>
        <w:pStyle w:val="169"/>
      </w:pPr>
      <w:bookmarkStart w:id="77" w:name="_Toc221528708"/>
      <w:bookmarkStart w:id="78" w:name="_Toc221528779"/>
      <w:r>
        <w:rPr>
          <w:rFonts w:hint="eastAsia"/>
        </w:rPr>
        <w:t>附录</w:t>
      </w:r>
      <w:r>
        <w:rPr>
          <w:rFonts w:hint="eastAsia"/>
          <w:lang w:eastAsia="zh-CN"/>
        </w:rPr>
        <w:t>E</w:t>
      </w:r>
      <w:r>
        <w:rPr>
          <w:lang w:eastAsia="zh-CN"/>
        </w:rPr>
        <w:br w:type="textWrapping"/>
      </w:r>
      <w:r>
        <w:rPr>
          <w:rFonts w:hint="eastAsia"/>
        </w:rPr>
        <w:t>（资料性）</w:t>
      </w:r>
      <w:r>
        <w:rPr>
          <w:lang w:eastAsia="zh-CN"/>
        </w:rPr>
        <w:br w:type="textWrapping"/>
      </w:r>
      <w:r>
        <w:rPr>
          <w:rFonts w:hint="eastAsia"/>
        </w:rPr>
        <w:t>预警信息发布示例</w:t>
      </w:r>
      <w:bookmarkEnd w:id="77"/>
      <w:bookmarkEnd w:id="78"/>
    </w:p>
    <w:p w14:paraId="6ED0C6E6">
      <w:pPr>
        <w:pStyle w:val="170"/>
      </w:pPr>
      <w:r>
        <w:rPr>
          <w:rFonts w:hint="eastAsia"/>
          <w:b/>
          <w:bCs/>
        </w:rPr>
        <w:t>E.0.1</w:t>
      </w:r>
      <w:r>
        <w:rPr>
          <w:rFonts w:hint="eastAsia"/>
        </w:rPr>
        <w:t xml:space="preserve"> 以某城市解放桥为例，其防船撞监测系统对偏航船舶的分级预警响应如下：</w:t>
      </w:r>
    </w:p>
    <w:p w14:paraId="635CCA1E">
      <w:pPr>
        <w:pStyle w:val="170"/>
        <w:ind w:left="840" w:leftChars="200" w:hanging="420" w:hangingChars="200"/>
      </w:pPr>
      <w:r>
        <w:rPr>
          <w:rFonts w:hint="eastAsia"/>
        </w:rPr>
        <w:t>a)</w:t>
      </w:r>
      <w:r>
        <w:tab/>
      </w:r>
      <w:r>
        <w:rPr>
          <w:rFonts w:hint="eastAsia"/>
        </w:rPr>
        <w:t>当船舶驶入三级预警区域时，VHF 自动播报：“XX船舶，您已进入桥区警戒区，当前通航净高为XX m，通航净宽为XX m，风速为XX m/s，流速为XX m/s。”</w:t>
      </w:r>
    </w:p>
    <w:p w14:paraId="62541C47">
      <w:pPr>
        <w:pStyle w:val="170"/>
        <w:ind w:left="840" w:leftChars="200" w:hanging="420" w:hangingChars="200"/>
      </w:pPr>
      <w:r>
        <w:rPr>
          <w:rFonts w:hint="eastAsia"/>
        </w:rPr>
        <w:t>b)</w:t>
      </w:r>
      <w:r>
        <w:tab/>
      </w:r>
      <w:r>
        <w:rPr>
          <w:rFonts w:hint="eastAsia"/>
        </w:rPr>
        <w:t>当船舶驶入二级预警区域时，VHF 播报：“XX船舶，你船已偏航，请注意前方桥梁。当前水平净距 XX m，航向 XX°，航速 XX 节，通航孔中心线方位 XX°，风速为XX m/s，流速为XX m/s，请修正航向。”；并同时向水上构筑物管理部门发布预警信息。</w:t>
      </w:r>
    </w:p>
    <w:p w14:paraId="18F88C87">
      <w:pPr>
        <w:pStyle w:val="170"/>
        <w:ind w:left="840" w:leftChars="200" w:hanging="420" w:hangingChars="200"/>
      </w:pPr>
      <w:r>
        <w:rPr>
          <w:rFonts w:hint="eastAsia"/>
        </w:rPr>
        <w:t>c)</w:t>
      </w:r>
      <w:r>
        <w:tab/>
      </w:r>
      <w:r>
        <w:rPr>
          <w:rFonts w:hint="eastAsia"/>
        </w:rPr>
        <w:t>当船舶驶入一级预警区域时，VHF 立即播报：“XX船舶，你船已偏航，请立即采取措施。当前水平净距 XX m，航向 XX°，航速 XX 节，通航孔中心线方位 XX°，应急部门联系电话XXXXXXXX。”；电笛立即鸣放3次（每次1秒，间隔1秒），之后每10秒鸣放1次，直至船舶驶离或预警解除；警示灯切换为高频频闪（频率为每秒2次）；并同时向水上构筑物管理部门发布预警信息。</w:t>
      </w:r>
    </w:p>
    <w:p w14:paraId="59FA5630">
      <w:pPr>
        <w:pStyle w:val="170"/>
      </w:pPr>
      <w:r>
        <w:rPr>
          <w:rFonts w:hint="eastAsia"/>
          <w:b/>
          <w:bCs/>
        </w:rPr>
        <w:t>E.0.2</w:t>
      </w:r>
      <w:r>
        <w:rPr>
          <w:rFonts w:hint="eastAsia"/>
        </w:rPr>
        <w:t xml:space="preserve"> 以某城市解放桥为例，其防船撞监测系统对超高船舶的分级预警响应如下：</w:t>
      </w:r>
    </w:p>
    <w:p w14:paraId="42A817C0">
      <w:pPr>
        <w:pStyle w:val="170"/>
        <w:ind w:left="840" w:leftChars="200" w:hanging="420" w:hangingChars="200"/>
      </w:pPr>
      <w:r>
        <w:rPr>
          <w:rFonts w:hint="eastAsia"/>
        </w:rPr>
        <w:t>a)</w:t>
      </w:r>
      <w:r>
        <w:tab/>
      </w:r>
      <w:r>
        <w:rPr>
          <w:rFonts w:hint="eastAsia"/>
        </w:rPr>
        <w:t>当船舶驶入三级预警区域时，VHF 自动播报：“XX船舶，您已进入桥区警戒区，当前通航净高为XX m，通航净宽为XX m，风速为XX m/s，流速为XX m/s。”</w:t>
      </w:r>
    </w:p>
    <w:p w14:paraId="45A3EF80">
      <w:pPr>
        <w:pStyle w:val="170"/>
        <w:ind w:left="840" w:leftChars="200" w:hanging="420" w:hangingChars="200"/>
      </w:pPr>
      <w:r>
        <w:rPr>
          <w:rFonts w:hint="eastAsia"/>
        </w:rPr>
        <w:t>b)</w:t>
      </w:r>
      <w:r>
        <w:tab/>
      </w:r>
      <w:r>
        <w:rPr>
          <w:rFonts w:hint="eastAsia"/>
        </w:rPr>
        <w:t>当船舶驶入二级预警区域时，VHF 播报：“XX船舶，你船已超高，禁止驶向前方桥梁，当前水平净距 XX m，通航净高为XX m，航向 XX°，航速 XX 节，风速为XX m/s，流速为XX m/s，请立即停航或转向。”；并同时向水上构筑物管理部门发布预警信息。</w:t>
      </w:r>
    </w:p>
    <w:p w14:paraId="3D27D7AB">
      <w:pPr>
        <w:pStyle w:val="170"/>
        <w:ind w:left="840" w:leftChars="200" w:hanging="420" w:hangingChars="200"/>
      </w:pPr>
      <w:r>
        <w:rPr>
          <w:rFonts w:hint="eastAsia"/>
        </w:rPr>
        <w:t>c)</w:t>
      </w:r>
      <w:r>
        <w:tab/>
      </w:r>
      <w:r>
        <w:rPr>
          <w:rFonts w:hint="eastAsia"/>
        </w:rPr>
        <w:t>当船舶驶入一级预警区域时，VHF 立即播报：“XX船舶，你船已超高，请立即采取措施，严禁驶入。当前水平净距 XX m，通航净高为XX m，航向 XX°，航速 XX 节，应急部门联系电话XXXXXXXX。”；电笛立即鸣放3次（每次1秒，间隔1秒），之后每10秒鸣放1次，直至船舶驶离或预警解除；警示灯切换为高频频闪（频率为每秒2次）；并同时向水上构筑物管理部门发布预警信息。</w:t>
      </w:r>
    </w:p>
    <w:p w14:paraId="5E9DC652">
      <w:pPr>
        <w:pStyle w:val="170"/>
      </w:pPr>
      <w:r>
        <w:rPr>
          <w:rFonts w:hint="eastAsia"/>
          <w:b/>
          <w:bCs/>
        </w:rPr>
        <w:t>E.0.3</w:t>
      </w:r>
      <w:r>
        <w:rPr>
          <w:rFonts w:hint="eastAsia"/>
        </w:rPr>
        <w:t xml:space="preserve"> 以某城市解放桥为例，其防船撞监测系统对超宽船舶的分级预警响应如下：</w:t>
      </w:r>
    </w:p>
    <w:p w14:paraId="23A93A35">
      <w:pPr>
        <w:pStyle w:val="170"/>
        <w:ind w:left="840" w:leftChars="200" w:hanging="420" w:hangingChars="200"/>
      </w:pPr>
      <w:r>
        <w:rPr>
          <w:rFonts w:hint="eastAsia"/>
        </w:rPr>
        <w:t>a)</w:t>
      </w:r>
      <w:r>
        <w:tab/>
      </w:r>
      <w:r>
        <w:rPr>
          <w:rFonts w:hint="eastAsia"/>
        </w:rPr>
        <w:t>当船舶驶入三级预警区域时，VHF 自动播报：“XX船舶，您已进入桥区警戒区，当前通航净高为XX m，通航净宽为XX m，风速为XX m/s，流速为XX m/s。”</w:t>
      </w:r>
    </w:p>
    <w:p w14:paraId="2E2AC74A">
      <w:pPr>
        <w:pStyle w:val="170"/>
        <w:ind w:left="840" w:leftChars="200" w:hanging="420" w:hangingChars="200"/>
      </w:pPr>
      <w:r>
        <w:rPr>
          <w:rFonts w:hint="eastAsia"/>
        </w:rPr>
        <w:t>b)</w:t>
      </w:r>
      <w:r>
        <w:tab/>
      </w:r>
      <w:r>
        <w:rPr>
          <w:rFonts w:hint="eastAsia"/>
        </w:rPr>
        <w:t>当船舶驶入二级预警区域时，VHF 播报：“XX船舶，你船已超宽，禁止驶向前方桥梁，当前水平净距 XX m，通航净宽为XX m，航向 XX°，航速 XX 节，风速为XX m/s，流速为XX m/s，请立即停航或转向。”；并同时向水上构筑物管理部门发布预警信息。</w:t>
      </w:r>
    </w:p>
    <w:p w14:paraId="3A2C3906">
      <w:pPr>
        <w:pStyle w:val="170"/>
        <w:ind w:left="840" w:leftChars="200" w:hanging="420" w:hangingChars="200"/>
      </w:pPr>
      <w:r>
        <w:rPr>
          <w:rFonts w:hint="eastAsia"/>
        </w:rPr>
        <w:t>c)</w:t>
      </w:r>
      <w:r>
        <w:tab/>
      </w:r>
      <w:r>
        <w:rPr>
          <w:rFonts w:hint="eastAsia"/>
        </w:rPr>
        <w:t>当船舶驶入一级预警区域时，VHF 立即播报：“XX船舶，你船已超宽，请立即采取措施，严禁驶入。当前水平净距 XX m，通航净宽为XX m，航向 XX°，航速 XX 节，应急部门联系电话XXXXXXXX。”；电笛立即鸣放3次（每次1秒，间隔1秒），之后每10秒鸣放1次，直至船舶驶离或预警解除；警示灯切换为高频频闪（频率为每秒2次）；并同时向水上构筑物管理部门发布预警信息。</w:t>
      </w:r>
    </w:p>
    <w:p w14:paraId="59FD001E">
      <w:pPr>
        <w:pStyle w:val="170"/>
        <w:ind w:left="840" w:leftChars="200" w:hanging="420" w:hangingChars="200"/>
      </w:pPr>
    </w:p>
    <w:p w14:paraId="27DFE8D6">
      <w:pPr>
        <w:pStyle w:val="170"/>
      </w:pPr>
    </w:p>
    <w:p w14:paraId="09B3A4F8">
      <w:pPr>
        <w:pStyle w:val="170"/>
        <w:sectPr>
          <w:pgSz w:w="11906" w:h="16838"/>
          <w:pgMar w:top="1417" w:right="1417" w:bottom="1417" w:left="1417" w:header="851" w:footer="992" w:gutter="0"/>
          <w:cols w:space="720" w:num="1"/>
          <w:docGrid w:type="lines" w:linePitch="312" w:charSpace="0"/>
        </w:sectPr>
      </w:pPr>
    </w:p>
    <w:p w14:paraId="7316C861">
      <w:pPr>
        <w:pStyle w:val="169"/>
        <w:rPr>
          <w:rFonts w:eastAsia="方正黑体简体"/>
        </w:rPr>
      </w:pPr>
      <w:bookmarkStart w:id="79" w:name="_Toc221528709"/>
      <w:bookmarkStart w:id="80" w:name="_Toc221528780"/>
      <w:r>
        <w:rPr>
          <w:rFonts w:hint="eastAsia"/>
          <w:lang w:eastAsia="zh-CN"/>
        </w:rPr>
        <w:t>本</w:t>
      </w:r>
      <w:r>
        <w:rPr>
          <w:rFonts w:hint="eastAsia"/>
        </w:rPr>
        <w:t>标准</w:t>
      </w:r>
      <w:r>
        <w:t>用词说明</w:t>
      </w:r>
      <w:bookmarkEnd w:id="70"/>
      <w:bookmarkEnd w:id="79"/>
      <w:bookmarkEnd w:id="80"/>
    </w:p>
    <w:p w14:paraId="4C122F44">
      <w:pPr>
        <w:spacing w:line="360" w:lineRule="auto"/>
        <w:rPr>
          <w:color w:val="000000"/>
          <w:sz w:val="24"/>
        </w:rPr>
      </w:pPr>
      <w:r>
        <w:rPr>
          <w:rFonts w:hint="eastAsia"/>
          <w:color w:val="000000"/>
          <w:sz w:val="24"/>
        </w:rPr>
        <w:t xml:space="preserve">    1  为便于在执行本标准条文时区别对待，对要求严格程度不同的用词说明如下：</w:t>
      </w:r>
    </w:p>
    <w:p w14:paraId="70AC319F">
      <w:pPr>
        <w:spacing w:line="360" w:lineRule="auto"/>
        <w:rPr>
          <w:color w:val="000000"/>
          <w:sz w:val="24"/>
        </w:rPr>
      </w:pPr>
      <w:r>
        <w:rPr>
          <w:rFonts w:hint="eastAsia"/>
          <w:color w:val="000000"/>
          <w:sz w:val="24"/>
        </w:rPr>
        <w:t xml:space="preserve">       1） 表示很严格，非这样做不可的：</w:t>
      </w:r>
    </w:p>
    <w:p w14:paraId="18F88C83">
      <w:pPr>
        <w:spacing w:line="360" w:lineRule="auto"/>
        <w:ind w:firstLine="1320" w:firstLineChars="550"/>
        <w:rPr>
          <w:color w:val="000000"/>
          <w:sz w:val="24"/>
        </w:rPr>
      </w:pPr>
      <w:r>
        <w:rPr>
          <w:rFonts w:hint="eastAsia"/>
          <w:color w:val="000000"/>
          <w:sz w:val="24"/>
        </w:rPr>
        <w:t>正面词采用“必须”；反面词采用“严禁”。</w:t>
      </w:r>
    </w:p>
    <w:p w14:paraId="123338DC">
      <w:pPr>
        <w:spacing w:line="360" w:lineRule="auto"/>
        <w:ind w:firstLine="840" w:firstLineChars="350"/>
        <w:rPr>
          <w:color w:val="000000"/>
          <w:sz w:val="24"/>
        </w:rPr>
      </w:pPr>
      <w:r>
        <w:rPr>
          <w:rFonts w:hint="eastAsia"/>
          <w:color w:val="000000"/>
          <w:sz w:val="24"/>
        </w:rPr>
        <w:t>2） 表示严格，在正常情况下均应这样做的：</w:t>
      </w:r>
    </w:p>
    <w:p w14:paraId="52191D66">
      <w:pPr>
        <w:spacing w:line="360" w:lineRule="auto"/>
        <w:ind w:firstLine="1320" w:firstLineChars="550"/>
        <w:rPr>
          <w:color w:val="000000"/>
          <w:sz w:val="24"/>
        </w:rPr>
      </w:pPr>
      <w:r>
        <w:rPr>
          <w:rFonts w:hint="eastAsia"/>
          <w:color w:val="000000"/>
          <w:sz w:val="24"/>
        </w:rPr>
        <w:t>正面词采用“应”；反面词采用“不应”或“不得”。</w:t>
      </w:r>
    </w:p>
    <w:p w14:paraId="2889A4DA">
      <w:pPr>
        <w:spacing w:line="360" w:lineRule="auto"/>
        <w:ind w:firstLine="840" w:firstLineChars="350"/>
        <w:rPr>
          <w:color w:val="000000"/>
          <w:sz w:val="24"/>
        </w:rPr>
      </w:pPr>
      <w:r>
        <w:rPr>
          <w:rFonts w:hint="eastAsia"/>
          <w:color w:val="000000"/>
          <w:sz w:val="24"/>
        </w:rPr>
        <w:t>3） 表示允许稍有选择，在条件许可时首先应这样做的：</w:t>
      </w:r>
    </w:p>
    <w:p w14:paraId="43860E05">
      <w:pPr>
        <w:spacing w:line="360" w:lineRule="auto"/>
        <w:ind w:firstLine="1320" w:firstLineChars="550"/>
        <w:rPr>
          <w:color w:val="000000"/>
          <w:sz w:val="24"/>
        </w:rPr>
      </w:pPr>
      <w:r>
        <w:rPr>
          <w:rFonts w:hint="eastAsia"/>
          <w:color w:val="000000"/>
          <w:sz w:val="24"/>
        </w:rPr>
        <w:t>正面词采用“宜”；反面词采用“不宜”。</w:t>
      </w:r>
    </w:p>
    <w:p w14:paraId="08D4B2F5">
      <w:pPr>
        <w:spacing w:line="360" w:lineRule="auto"/>
        <w:ind w:firstLine="840" w:firstLineChars="350"/>
        <w:rPr>
          <w:color w:val="000000"/>
          <w:sz w:val="24"/>
        </w:rPr>
      </w:pPr>
      <w:r>
        <w:rPr>
          <w:rFonts w:hint="eastAsia"/>
          <w:color w:val="000000"/>
          <w:sz w:val="24"/>
        </w:rPr>
        <w:t>4） 表示有选择，在一定条件下可以这样做的，采用“可”。</w:t>
      </w:r>
    </w:p>
    <w:p w14:paraId="62E20C03">
      <w:pPr>
        <w:spacing w:line="360" w:lineRule="auto"/>
        <w:ind w:firstLine="420"/>
        <w:rPr>
          <w:rFonts w:ascii="宋体"/>
          <w:color w:val="000000"/>
          <w:sz w:val="24"/>
        </w:rPr>
      </w:pPr>
      <w:r>
        <w:rPr>
          <w:rStyle w:val="160"/>
          <w:rFonts w:hint="eastAsia"/>
        </w:rPr>
        <w:t>2  条文中指明应按其它有关标准执行时的写法为“应符合</w:t>
      </w:r>
      <w:r>
        <w:rPr>
          <w:rFonts w:hint="eastAsia" w:ascii="宋体"/>
          <w:color w:val="000000"/>
          <w:sz w:val="24"/>
        </w:rPr>
        <w:t>……</w:t>
      </w:r>
      <w:r>
        <w:rPr>
          <w:rStyle w:val="160"/>
          <w:rFonts w:hint="eastAsia"/>
        </w:rPr>
        <w:t>的规定”或“应按</w:t>
      </w:r>
      <w:r>
        <w:rPr>
          <w:rFonts w:hint="eastAsia" w:ascii="宋体"/>
          <w:color w:val="000000"/>
          <w:sz w:val="24"/>
        </w:rPr>
        <w:t>……执行”。</w:t>
      </w:r>
    </w:p>
    <w:p w14:paraId="14F3B2F9">
      <w:pPr>
        <w:pStyle w:val="170"/>
        <w:jc w:val="center"/>
      </w:pPr>
      <w:r>
        <w:rPr>
          <w:rFonts w:hint="eastAsia"/>
        </w:rPr>
        <w:drawing>
          <wp:inline distT="0" distB="0" distL="0" distR="0">
            <wp:extent cx="1114425" cy="238125"/>
            <wp:effectExtent l="0" t="0" r="9525" b="9525"/>
            <wp:docPr id="1973026821" name="图片 6"/>
            <wp:cNvGraphicFramePr/>
            <a:graphic xmlns:a="http://schemas.openxmlformats.org/drawingml/2006/main">
              <a:graphicData uri="http://schemas.openxmlformats.org/drawingml/2006/picture">
                <pic:pic xmlns:pic="http://schemas.openxmlformats.org/drawingml/2006/picture">
                  <pic:nvPicPr>
                    <pic:cNvPr id="1973026821" name="图片 6"/>
                    <pic:cNvPicPr/>
                  </pic:nvPicPr>
                  <pic:blipFill>
                    <a:blip r:embed="rId34">
                      <a:extLst>
                        <a:ext uri="{28A0092B-C50C-407E-A947-70E740481C1C}">
                          <a14:useLocalDpi xmlns:a14="http://schemas.microsoft.com/office/drawing/2010/main" val="0"/>
                        </a:ext>
                      </a:extLst>
                    </a:blip>
                    <a:stretch>
                      <a:fillRect/>
                    </a:stretch>
                  </pic:blipFill>
                  <pic:spPr>
                    <a:xfrm>
                      <a:off x="0" y="0"/>
                      <a:ext cx="1114425" cy="238125"/>
                    </a:xfrm>
                    <a:prstGeom prst="rect">
                      <a:avLst/>
                    </a:prstGeom>
                  </pic:spPr>
                </pic:pic>
              </a:graphicData>
            </a:graphic>
          </wp:inline>
        </w:drawing>
      </w:r>
    </w:p>
    <w:p w14:paraId="1AC7F658">
      <w:pPr>
        <w:pStyle w:val="170"/>
      </w:pPr>
    </w:p>
    <w:p w14:paraId="3486C824">
      <w:pPr>
        <w:rPr>
          <w:rStyle w:val="160"/>
        </w:rPr>
        <w:sectPr>
          <w:pgSz w:w="11906" w:h="16838"/>
          <w:pgMar w:top="1417" w:right="1417" w:bottom="1417" w:left="1417" w:header="851" w:footer="992" w:gutter="0"/>
          <w:cols w:space="720" w:num="1"/>
          <w:docGrid w:type="lines" w:linePitch="312" w:charSpace="0"/>
        </w:sectPr>
      </w:pPr>
    </w:p>
    <w:p w14:paraId="6425B2CD">
      <w:pPr>
        <w:rPr>
          <w:rStyle w:val="160"/>
        </w:rPr>
      </w:pPr>
    </w:p>
    <w:p w14:paraId="15495318">
      <w:pPr>
        <w:spacing w:before="300" w:line="375" w:lineRule="atLeast"/>
        <w:jc w:val="center"/>
        <w:rPr>
          <w:rFonts w:ascii="宋体" w:hAnsi="宋体"/>
          <w:b/>
          <w:color w:val="000000"/>
          <w:sz w:val="32"/>
          <w:szCs w:val="32"/>
        </w:rPr>
      </w:pPr>
    </w:p>
    <w:p w14:paraId="3905736C">
      <w:pPr>
        <w:spacing w:before="300" w:line="375" w:lineRule="atLeast"/>
        <w:jc w:val="center"/>
        <w:rPr>
          <w:rFonts w:ascii="宋体" w:hAnsi="宋体"/>
          <w:b/>
          <w:color w:val="000000"/>
          <w:sz w:val="32"/>
          <w:szCs w:val="32"/>
        </w:rPr>
      </w:pPr>
    </w:p>
    <w:p w14:paraId="2129B673">
      <w:pPr>
        <w:spacing w:before="300" w:line="375" w:lineRule="atLeast"/>
        <w:jc w:val="center"/>
        <w:rPr>
          <w:rFonts w:ascii="宋体" w:hAnsi="宋体"/>
          <w:b/>
          <w:color w:val="000000"/>
          <w:sz w:val="32"/>
          <w:szCs w:val="32"/>
        </w:rPr>
      </w:pPr>
      <w:r>
        <w:rPr>
          <w:rFonts w:hint="eastAsia" w:ascii="宋体" w:hAnsi="宋体"/>
          <w:b/>
          <w:color w:val="000000"/>
          <w:sz w:val="32"/>
          <w:szCs w:val="32"/>
        </w:rPr>
        <w:t>中国土木工程学会标准</w:t>
      </w:r>
    </w:p>
    <w:p w14:paraId="584926CD">
      <w:pPr>
        <w:spacing w:before="300" w:line="375" w:lineRule="atLeast"/>
        <w:jc w:val="center"/>
        <w:rPr>
          <w:rFonts w:ascii="黑体" w:hAnsi="黑体" w:eastAsia="黑体"/>
          <w:b/>
          <w:bCs/>
          <w:color w:val="000000"/>
          <w:kern w:val="36"/>
          <w:sz w:val="32"/>
          <w:szCs w:val="32"/>
        </w:rPr>
      </w:pPr>
      <w:r>
        <w:rPr>
          <w:rFonts w:hint="eastAsia" w:ascii="黑体" w:hAnsi="黑体" w:eastAsia="黑体"/>
          <w:b/>
          <w:bCs/>
          <w:color w:val="000000"/>
          <w:kern w:val="36"/>
          <w:sz w:val="32"/>
          <w:szCs w:val="32"/>
        </w:rPr>
        <w:t>水上构筑物防船撞监测技术标准</w:t>
      </w:r>
    </w:p>
    <w:p w14:paraId="09627C30">
      <w:pPr>
        <w:spacing w:before="300" w:line="375" w:lineRule="atLeast"/>
        <w:jc w:val="center"/>
        <w:rPr>
          <w:rFonts w:ascii="黑体" w:hAnsi="宋体" w:eastAsia="黑体" w:cs="宋体"/>
          <w:color w:val="000000"/>
          <w:kern w:val="0"/>
          <w:sz w:val="30"/>
          <w:szCs w:val="30"/>
        </w:rPr>
      </w:pPr>
      <w:r>
        <w:rPr>
          <w:rFonts w:hint="eastAsia" w:ascii="黑体" w:hAnsi="宋体" w:eastAsia="黑体" w:cs="宋体"/>
          <w:color w:val="000000"/>
          <w:kern w:val="0"/>
          <w:sz w:val="30"/>
          <w:szCs w:val="30"/>
        </w:rPr>
        <w:t>T/CCES</w:t>
      </w:r>
      <w:r>
        <w:rPr>
          <w:rFonts w:eastAsia="黑体"/>
          <w:color w:val="000000"/>
          <w:kern w:val="0"/>
          <w:sz w:val="30"/>
          <w:szCs w:val="30"/>
        </w:rPr>
        <w:t xml:space="preserve"> </w:t>
      </w:r>
      <w:r>
        <w:rPr>
          <w:rFonts w:ascii="黑体" w:hAnsi="宋体" w:eastAsia="黑体" w:cs="宋体"/>
          <w:color w:val="000000"/>
          <w:kern w:val="0"/>
          <w:sz w:val="30"/>
          <w:szCs w:val="30"/>
        </w:rPr>
        <w:t>X</w:t>
      </w:r>
      <w:r>
        <w:rPr>
          <w:rFonts w:hint="eastAsia" w:ascii="黑体" w:hAnsi="宋体" w:eastAsia="黑体" w:cs="宋体"/>
          <w:color w:val="000000"/>
          <w:kern w:val="0"/>
          <w:sz w:val="30"/>
          <w:szCs w:val="30"/>
        </w:rPr>
        <w:t>－20</w:t>
      </w:r>
      <w:r>
        <w:rPr>
          <w:rFonts w:ascii="黑体" w:hAnsi="宋体" w:eastAsia="黑体" w:cs="宋体"/>
          <w:color w:val="000000"/>
          <w:kern w:val="0"/>
          <w:sz w:val="30"/>
          <w:szCs w:val="30"/>
        </w:rPr>
        <w:t>XX</w:t>
      </w:r>
    </w:p>
    <w:p w14:paraId="2242FEA1">
      <w:pPr>
        <w:spacing w:before="300" w:line="375" w:lineRule="atLeast"/>
        <w:jc w:val="center"/>
        <w:rPr>
          <w:rFonts w:ascii="黑体" w:hAnsi="宋体" w:eastAsia="黑体" w:cs="宋体"/>
          <w:color w:val="000000"/>
          <w:kern w:val="0"/>
          <w:sz w:val="30"/>
          <w:szCs w:val="30"/>
        </w:rPr>
      </w:pPr>
    </w:p>
    <w:p w14:paraId="7F2F1B02">
      <w:pPr>
        <w:pStyle w:val="184"/>
      </w:pPr>
      <w:bookmarkStart w:id="81" w:name="_Toc221528781"/>
      <w:bookmarkStart w:id="82" w:name="_Toc221528710"/>
      <w:r>
        <w:rPr>
          <w:rFonts w:hint="eastAsia"/>
        </w:rPr>
        <w:t>条 文 说 明</w:t>
      </w:r>
      <w:bookmarkEnd w:id="81"/>
      <w:bookmarkEnd w:id="82"/>
    </w:p>
    <w:p w14:paraId="4D2C2897">
      <w:pPr>
        <w:spacing w:before="300" w:line="375" w:lineRule="atLeast"/>
        <w:jc w:val="center"/>
        <w:rPr>
          <w:rFonts w:ascii="宋体" w:hAnsi="宋体"/>
          <w:color w:val="000000"/>
          <w:kern w:val="0"/>
          <w:sz w:val="30"/>
          <w:szCs w:val="30"/>
        </w:rPr>
      </w:pPr>
      <w:r>
        <w:rPr>
          <w:rFonts w:ascii="宋体" w:hAnsi="宋体"/>
          <w:color w:val="000000"/>
          <w:kern w:val="0"/>
          <w:sz w:val="30"/>
          <w:szCs w:val="30"/>
        </w:rPr>
        <w:br w:type="page"/>
      </w:r>
    </w:p>
    <w:p w14:paraId="321E1547">
      <w:pPr>
        <w:spacing w:before="300" w:line="375" w:lineRule="atLeast"/>
        <w:jc w:val="center"/>
        <w:rPr>
          <w:rFonts w:ascii="宋体" w:hAnsi="宋体"/>
          <w:b/>
          <w:color w:val="000000"/>
          <w:sz w:val="32"/>
          <w:szCs w:val="32"/>
        </w:rPr>
      </w:pPr>
      <w:r>
        <w:rPr>
          <w:rFonts w:hint="eastAsia" w:ascii="宋体" w:hAnsi="宋体"/>
          <w:b/>
          <w:color w:val="000000"/>
          <w:sz w:val="32"/>
          <w:szCs w:val="32"/>
        </w:rPr>
        <w:t>制订说明</w:t>
      </w:r>
    </w:p>
    <w:p w14:paraId="47231843">
      <w:pPr>
        <w:widowControl w:val="0"/>
        <w:spacing w:line="360" w:lineRule="auto"/>
        <w:ind w:firstLine="420"/>
        <w:rPr>
          <w:szCs w:val="20"/>
        </w:rPr>
      </w:pPr>
    </w:p>
    <w:p w14:paraId="2866A985">
      <w:pPr>
        <w:widowControl w:val="0"/>
        <w:spacing w:line="360" w:lineRule="auto"/>
        <w:ind w:firstLine="420"/>
        <w:rPr>
          <w:sz w:val="24"/>
        </w:rPr>
      </w:pPr>
      <w:r>
        <w:rPr>
          <w:sz w:val="24"/>
        </w:rPr>
        <w:t>《水上构筑物防船撞监测技术标准》T/CCES XXX-20XX，经中国土木工程学会</w:t>
      </w:r>
      <w:r>
        <w:rPr>
          <w:rFonts w:hint="eastAsia"/>
          <w:sz w:val="24"/>
        </w:rPr>
        <w:t>XXXX年XX月XX日以XX号函文批准发布。</w:t>
      </w:r>
    </w:p>
    <w:p w14:paraId="68FAC387">
      <w:pPr>
        <w:widowControl w:val="0"/>
        <w:spacing w:line="360" w:lineRule="auto"/>
        <w:ind w:firstLine="420"/>
        <w:rPr>
          <w:sz w:val="24"/>
        </w:rPr>
      </w:pPr>
      <w:r>
        <w:rPr>
          <w:sz w:val="24"/>
        </w:rPr>
        <w:t>本标准制订过程中，编制组进行了广泛的调查研究，总结了我国防船撞监测领域的实践经验，同时参考了相关先进技术法规、技术标准，开展了多项专题研究，并以多种形式广泛征求有关单位和专家的意见，对主要问题进行了反复讨论、协调和修改，形成本标准。</w:t>
      </w:r>
    </w:p>
    <w:p w14:paraId="772BFC97">
      <w:pPr>
        <w:widowControl w:val="0"/>
        <w:spacing w:line="360" w:lineRule="auto"/>
        <w:ind w:firstLine="412"/>
        <w:rPr>
          <w:sz w:val="24"/>
        </w:rPr>
      </w:pPr>
      <w:r>
        <w:rPr>
          <w:sz w:val="24"/>
        </w:rPr>
        <w:t>为便于广大检测、设计、施工、科研、学校等单位有关人员在使用本</w:t>
      </w:r>
      <w:r>
        <w:rPr>
          <w:rFonts w:hint="eastAsia"/>
          <w:sz w:val="24"/>
        </w:rPr>
        <w:t>标准</w:t>
      </w:r>
      <w:r>
        <w:rPr>
          <w:sz w:val="24"/>
        </w:rPr>
        <w:t>时能正确理解和执行条文规定，本标准编制组按章、节、条顺序编制了本标准的条文说明，对条文规定的目的、依据以及执行中需注意的有关事项进行了说明。需要注意的是，本条文说明不具备与标准正文同等的法律效力，仅供使用者作为理解和把握标准规定的参考。</w:t>
      </w:r>
    </w:p>
    <w:p w14:paraId="6D8611EE">
      <w:pPr>
        <w:spacing w:before="300" w:line="375" w:lineRule="atLeast"/>
        <w:jc w:val="center"/>
        <w:rPr>
          <w:rFonts w:ascii="宋体" w:hAnsi="宋体"/>
          <w:color w:val="000000"/>
          <w:kern w:val="0"/>
          <w:sz w:val="30"/>
          <w:szCs w:val="30"/>
        </w:rPr>
      </w:pPr>
    </w:p>
    <w:p w14:paraId="4B6AD903">
      <w:pPr>
        <w:spacing w:before="300" w:line="375" w:lineRule="atLeast"/>
        <w:jc w:val="center"/>
        <w:rPr>
          <w:rFonts w:ascii="黑体" w:hAnsi="宋体" w:eastAsia="黑体" w:cs="宋体"/>
          <w:color w:val="000000"/>
          <w:kern w:val="0"/>
          <w:sz w:val="30"/>
          <w:szCs w:val="30"/>
        </w:rPr>
      </w:pPr>
    </w:p>
    <w:p w14:paraId="5D14242D">
      <w:pPr>
        <w:spacing w:before="300" w:line="375" w:lineRule="atLeast"/>
        <w:jc w:val="center"/>
        <w:rPr>
          <w:rFonts w:ascii="黑体" w:hAnsi="宋体" w:eastAsia="黑体" w:cs="宋体"/>
          <w:color w:val="000000"/>
          <w:kern w:val="0"/>
          <w:sz w:val="30"/>
          <w:szCs w:val="30"/>
        </w:rPr>
      </w:pPr>
    </w:p>
    <w:p w14:paraId="68BCB540">
      <w:pPr>
        <w:spacing w:before="300" w:line="375" w:lineRule="atLeast"/>
        <w:jc w:val="center"/>
        <w:rPr>
          <w:rFonts w:ascii="黑体" w:hAnsi="宋体" w:eastAsia="黑体" w:cs="宋体"/>
          <w:color w:val="000000"/>
          <w:kern w:val="0"/>
          <w:sz w:val="30"/>
          <w:szCs w:val="30"/>
        </w:rPr>
      </w:pPr>
    </w:p>
    <w:p w14:paraId="2A824F76">
      <w:pPr>
        <w:spacing w:before="300" w:line="375" w:lineRule="atLeast"/>
        <w:jc w:val="center"/>
        <w:rPr>
          <w:rFonts w:ascii="黑体" w:hAnsi="宋体" w:eastAsia="黑体" w:cs="宋体"/>
          <w:color w:val="000000"/>
          <w:kern w:val="0"/>
          <w:sz w:val="30"/>
          <w:szCs w:val="30"/>
        </w:rPr>
      </w:pPr>
    </w:p>
    <w:p w14:paraId="642F3B54">
      <w:pPr>
        <w:spacing w:before="300" w:line="375" w:lineRule="atLeast"/>
        <w:rPr>
          <w:rFonts w:ascii="黑体" w:hAnsi="宋体" w:eastAsia="黑体" w:cs="宋体"/>
          <w:color w:val="000000"/>
          <w:kern w:val="0"/>
          <w:sz w:val="30"/>
          <w:szCs w:val="30"/>
        </w:rPr>
        <w:sectPr>
          <w:pgSz w:w="11906" w:h="16838"/>
          <w:pgMar w:top="1417" w:right="1417" w:bottom="1417" w:left="1417" w:header="851" w:footer="992" w:gutter="0"/>
          <w:cols w:space="720" w:num="1"/>
          <w:docGrid w:type="lines" w:linePitch="312" w:charSpace="0"/>
        </w:sectPr>
      </w:pPr>
    </w:p>
    <w:p w14:paraId="03040114">
      <w:pPr>
        <w:tabs>
          <w:tab w:val="left" w:pos="1350"/>
          <w:tab w:val="center" w:pos="4536"/>
        </w:tabs>
        <w:spacing w:before="300" w:line="375" w:lineRule="atLeast"/>
        <w:jc w:val="center"/>
        <w:rPr>
          <w:rFonts w:ascii="宋体" w:hAnsi="宋体" w:cs="宋体"/>
          <w:b/>
          <w:color w:val="000000"/>
          <w:kern w:val="0"/>
          <w:sz w:val="32"/>
          <w:szCs w:val="32"/>
        </w:rPr>
      </w:pPr>
      <w:r>
        <w:rPr>
          <w:rFonts w:ascii="宋体" w:hAnsi="宋体" w:cs="宋体"/>
          <w:b/>
          <w:color w:val="000000"/>
          <w:kern w:val="0"/>
          <w:sz w:val="32"/>
          <w:szCs w:val="32"/>
        </w:rPr>
        <w:t>目</w:t>
      </w:r>
      <w:r>
        <w:rPr>
          <w:rFonts w:hint="eastAsia" w:ascii="宋体" w:hAnsi="宋体" w:cs="宋体"/>
          <w:b/>
          <w:color w:val="000000"/>
          <w:kern w:val="0"/>
          <w:sz w:val="32"/>
          <w:szCs w:val="32"/>
        </w:rPr>
        <w:t xml:space="preserve">  </w:t>
      </w:r>
      <w:r>
        <w:rPr>
          <w:rFonts w:ascii="宋体" w:hAnsi="宋体" w:cs="宋体"/>
          <w:b/>
          <w:color w:val="000000"/>
          <w:kern w:val="0"/>
          <w:sz w:val="32"/>
          <w:szCs w:val="32"/>
        </w:rPr>
        <w:t>次</w:t>
      </w:r>
    </w:p>
    <w:p w14:paraId="5B35482A">
      <w:pPr>
        <w:pStyle w:val="24"/>
        <w:tabs>
          <w:tab w:val="right" w:leader="dot" w:pos="8494"/>
        </w:tabs>
        <w:rPr>
          <w:rFonts w:asciiTheme="minorHAnsi" w:hAnsiTheme="minorHAnsi" w:eastAsiaTheme="minorEastAsia" w:cstheme="minorBidi"/>
          <w:b/>
          <w:bCs/>
          <w:sz w:val="22"/>
          <w:szCs w:val="24"/>
          <w14:ligatures w14:val="standardContextual"/>
        </w:rPr>
      </w:pPr>
      <w:r>
        <w:rPr>
          <w:rFonts w:ascii="宋体" w:hAnsi="宋体" w:cs="宋体"/>
          <w:b/>
          <w:color w:val="000000"/>
          <w:kern w:val="0"/>
          <w:sz w:val="28"/>
          <w:szCs w:val="28"/>
        </w:rPr>
        <w:fldChar w:fldCharType="begin"/>
      </w:r>
      <w:r>
        <w:rPr>
          <w:rFonts w:ascii="宋体" w:hAnsi="宋体" w:cs="宋体"/>
          <w:b/>
          <w:color w:val="000000"/>
          <w:kern w:val="0"/>
          <w:sz w:val="28"/>
          <w:szCs w:val="28"/>
        </w:rPr>
        <w:instrText xml:space="preserve"> TOC \o "1-2" \h \z \u </w:instrText>
      </w:r>
      <w:r>
        <w:rPr>
          <w:rFonts w:ascii="宋体" w:hAnsi="宋体" w:cs="宋体"/>
          <w:b/>
          <w:color w:val="000000"/>
          <w:kern w:val="0"/>
          <w:sz w:val="28"/>
          <w:szCs w:val="28"/>
        </w:rPr>
        <w:fldChar w:fldCharType="separate"/>
      </w:r>
      <w:r>
        <w:fldChar w:fldCharType="begin"/>
      </w:r>
      <w:r>
        <w:instrText xml:space="preserve"> HYPERLINK \l "_Toc221528711" </w:instrText>
      </w:r>
      <w:r>
        <w:fldChar w:fldCharType="separate"/>
      </w:r>
      <w:r>
        <w:rPr>
          <w:rStyle w:val="41"/>
          <w:b/>
          <w:bCs/>
        </w:rPr>
        <w:t>3  基本规定</w:t>
      </w:r>
      <w:r>
        <w:rPr>
          <w:b/>
          <w:bCs/>
        </w:rPr>
        <w:tab/>
      </w:r>
      <w:r>
        <w:rPr>
          <w:b/>
          <w:bCs/>
        </w:rPr>
        <w:fldChar w:fldCharType="begin"/>
      </w:r>
      <w:r>
        <w:rPr>
          <w:b/>
          <w:bCs/>
        </w:rPr>
        <w:instrText xml:space="preserve"> PAGEREF _Toc221528711 \h </w:instrText>
      </w:r>
      <w:r>
        <w:rPr>
          <w:b/>
          <w:bCs/>
        </w:rPr>
        <w:fldChar w:fldCharType="separate"/>
      </w:r>
      <w:r>
        <w:rPr>
          <w:b/>
          <w:bCs/>
        </w:rPr>
        <w:t>43</w:t>
      </w:r>
      <w:r>
        <w:rPr>
          <w:b/>
          <w:bCs/>
        </w:rPr>
        <w:fldChar w:fldCharType="end"/>
      </w:r>
      <w:r>
        <w:rPr>
          <w:b/>
          <w:bCs/>
        </w:rPr>
        <w:fldChar w:fldCharType="end"/>
      </w:r>
    </w:p>
    <w:p w14:paraId="261E6B38">
      <w:pPr>
        <w:pStyle w:val="24"/>
        <w:tabs>
          <w:tab w:val="right" w:leader="dot" w:pos="8494"/>
        </w:tabs>
        <w:rPr>
          <w:rFonts w:asciiTheme="minorHAnsi" w:hAnsiTheme="minorHAnsi" w:eastAsiaTheme="minorEastAsia" w:cstheme="minorBidi"/>
          <w:b/>
          <w:bCs/>
          <w:sz w:val="22"/>
          <w:szCs w:val="24"/>
          <w14:ligatures w14:val="standardContextual"/>
        </w:rPr>
      </w:pPr>
      <w:r>
        <w:fldChar w:fldCharType="begin"/>
      </w:r>
      <w:r>
        <w:instrText xml:space="preserve"> HYPERLINK \l "_Toc221528712" </w:instrText>
      </w:r>
      <w:r>
        <w:fldChar w:fldCharType="separate"/>
      </w:r>
      <w:r>
        <w:rPr>
          <w:rStyle w:val="41"/>
          <w:b/>
          <w:bCs/>
        </w:rPr>
        <w:t>4  防船撞监测</w:t>
      </w:r>
      <w:r>
        <w:rPr>
          <w:b/>
          <w:bCs/>
        </w:rPr>
        <w:tab/>
      </w:r>
      <w:r>
        <w:rPr>
          <w:b/>
          <w:bCs/>
        </w:rPr>
        <w:fldChar w:fldCharType="begin"/>
      </w:r>
      <w:r>
        <w:rPr>
          <w:b/>
          <w:bCs/>
        </w:rPr>
        <w:instrText xml:space="preserve"> PAGEREF _Toc221528712 \h </w:instrText>
      </w:r>
      <w:r>
        <w:rPr>
          <w:b/>
          <w:bCs/>
        </w:rPr>
        <w:fldChar w:fldCharType="separate"/>
      </w:r>
      <w:r>
        <w:rPr>
          <w:b/>
          <w:bCs/>
        </w:rPr>
        <w:t>44</w:t>
      </w:r>
      <w:r>
        <w:rPr>
          <w:b/>
          <w:bCs/>
        </w:rPr>
        <w:fldChar w:fldCharType="end"/>
      </w:r>
      <w:r>
        <w:rPr>
          <w:b/>
          <w:bCs/>
        </w:rPr>
        <w:fldChar w:fldCharType="end"/>
      </w:r>
    </w:p>
    <w:p w14:paraId="780415C3">
      <w:pPr>
        <w:pStyle w:val="29"/>
        <w:tabs>
          <w:tab w:val="right" w:leader="dot" w:pos="8494"/>
        </w:tabs>
        <w:rPr>
          <w:rFonts w:asciiTheme="minorHAnsi" w:hAnsiTheme="minorHAnsi" w:eastAsiaTheme="minorEastAsia" w:cstheme="minorBidi"/>
          <w:b/>
          <w:bCs/>
          <w:sz w:val="22"/>
          <w:szCs w:val="24"/>
          <w:lang w:val="en-US" w:eastAsia="zh-CN"/>
          <w14:ligatures w14:val="standardContextual"/>
        </w:rPr>
      </w:pPr>
      <w:r>
        <w:fldChar w:fldCharType="begin"/>
      </w:r>
      <w:r>
        <w:instrText xml:space="preserve"> HYPERLINK \l "_Toc221528713" </w:instrText>
      </w:r>
      <w:r>
        <w:fldChar w:fldCharType="separate"/>
      </w:r>
      <w:r>
        <w:rPr>
          <w:rStyle w:val="41"/>
          <w:b/>
          <w:bCs/>
        </w:rPr>
        <w:t>4.1  监测内容</w:t>
      </w:r>
      <w:r>
        <w:rPr>
          <w:b/>
          <w:bCs/>
        </w:rPr>
        <w:tab/>
      </w:r>
      <w:r>
        <w:rPr>
          <w:b/>
          <w:bCs/>
        </w:rPr>
        <w:fldChar w:fldCharType="begin"/>
      </w:r>
      <w:r>
        <w:rPr>
          <w:b/>
          <w:bCs/>
        </w:rPr>
        <w:instrText xml:space="preserve"> PAGEREF _Toc221528713 \h </w:instrText>
      </w:r>
      <w:r>
        <w:rPr>
          <w:b/>
          <w:bCs/>
        </w:rPr>
        <w:fldChar w:fldCharType="separate"/>
      </w:r>
      <w:r>
        <w:rPr>
          <w:b/>
          <w:bCs/>
        </w:rPr>
        <w:t>44</w:t>
      </w:r>
      <w:r>
        <w:rPr>
          <w:b/>
          <w:bCs/>
        </w:rPr>
        <w:fldChar w:fldCharType="end"/>
      </w:r>
      <w:r>
        <w:rPr>
          <w:b/>
          <w:bCs/>
        </w:rPr>
        <w:fldChar w:fldCharType="end"/>
      </w:r>
    </w:p>
    <w:p w14:paraId="4FC3D28C">
      <w:pPr>
        <w:pStyle w:val="29"/>
        <w:tabs>
          <w:tab w:val="right" w:leader="dot" w:pos="8494"/>
        </w:tabs>
        <w:rPr>
          <w:rFonts w:asciiTheme="minorHAnsi" w:hAnsiTheme="minorHAnsi" w:eastAsiaTheme="minorEastAsia" w:cstheme="minorBidi"/>
          <w:b/>
          <w:bCs/>
          <w:sz w:val="22"/>
          <w:szCs w:val="24"/>
          <w:lang w:val="en-US" w:eastAsia="zh-CN"/>
          <w14:ligatures w14:val="standardContextual"/>
        </w:rPr>
      </w:pPr>
      <w:r>
        <w:fldChar w:fldCharType="begin"/>
      </w:r>
      <w:r>
        <w:instrText xml:space="preserve"> HYPERLINK \l "_Toc221528714" </w:instrText>
      </w:r>
      <w:r>
        <w:fldChar w:fldCharType="separate"/>
      </w:r>
      <w:r>
        <w:rPr>
          <w:rStyle w:val="41"/>
          <w:b/>
          <w:bCs/>
        </w:rPr>
        <w:t>4</w:t>
      </w:r>
      <w:r>
        <w:rPr>
          <w:rStyle w:val="41"/>
          <w:b/>
          <w:bCs/>
          <w:lang w:val="en-US"/>
        </w:rPr>
        <w:t>.2</w:t>
      </w:r>
      <w:r>
        <w:rPr>
          <w:rStyle w:val="41"/>
          <w:b/>
          <w:bCs/>
        </w:rPr>
        <w:t xml:space="preserve">  监测</w:t>
      </w:r>
      <w:r>
        <w:rPr>
          <w:rStyle w:val="41"/>
          <w:b/>
          <w:bCs/>
          <w:lang w:val="en-US"/>
        </w:rPr>
        <w:t>设备</w:t>
      </w:r>
      <w:r>
        <w:rPr>
          <w:b/>
          <w:bCs/>
        </w:rPr>
        <w:tab/>
      </w:r>
      <w:r>
        <w:rPr>
          <w:b/>
          <w:bCs/>
        </w:rPr>
        <w:fldChar w:fldCharType="begin"/>
      </w:r>
      <w:r>
        <w:rPr>
          <w:b/>
          <w:bCs/>
        </w:rPr>
        <w:instrText xml:space="preserve"> PAGEREF _Toc221528714 \h </w:instrText>
      </w:r>
      <w:r>
        <w:rPr>
          <w:b/>
          <w:bCs/>
        </w:rPr>
        <w:fldChar w:fldCharType="separate"/>
      </w:r>
      <w:r>
        <w:rPr>
          <w:b/>
          <w:bCs/>
        </w:rPr>
        <w:t>44</w:t>
      </w:r>
      <w:r>
        <w:rPr>
          <w:b/>
          <w:bCs/>
        </w:rPr>
        <w:fldChar w:fldCharType="end"/>
      </w:r>
      <w:r>
        <w:rPr>
          <w:b/>
          <w:bCs/>
        </w:rPr>
        <w:fldChar w:fldCharType="end"/>
      </w:r>
    </w:p>
    <w:p w14:paraId="267136AD">
      <w:pPr>
        <w:pStyle w:val="29"/>
        <w:tabs>
          <w:tab w:val="right" w:leader="dot" w:pos="8494"/>
        </w:tabs>
        <w:rPr>
          <w:rFonts w:asciiTheme="minorHAnsi" w:hAnsiTheme="minorHAnsi" w:eastAsiaTheme="minorEastAsia" w:cstheme="minorBidi"/>
          <w:b/>
          <w:bCs/>
          <w:sz w:val="22"/>
          <w:szCs w:val="24"/>
          <w:lang w:val="en-US" w:eastAsia="zh-CN"/>
          <w14:ligatures w14:val="standardContextual"/>
        </w:rPr>
      </w:pPr>
      <w:r>
        <w:fldChar w:fldCharType="begin"/>
      </w:r>
      <w:r>
        <w:instrText xml:space="preserve"> HYPERLINK \l "_Toc221528715" </w:instrText>
      </w:r>
      <w:r>
        <w:fldChar w:fldCharType="separate"/>
      </w:r>
      <w:r>
        <w:rPr>
          <w:rStyle w:val="41"/>
          <w:b/>
          <w:bCs/>
        </w:rPr>
        <w:t>4</w:t>
      </w:r>
      <w:r>
        <w:rPr>
          <w:rStyle w:val="41"/>
          <w:b/>
          <w:bCs/>
          <w:lang w:val="en-US"/>
        </w:rPr>
        <w:t>.3</w:t>
      </w:r>
      <w:r>
        <w:rPr>
          <w:rStyle w:val="41"/>
          <w:b/>
          <w:bCs/>
        </w:rPr>
        <w:t xml:space="preserve">  </w:t>
      </w:r>
      <w:r>
        <w:rPr>
          <w:rStyle w:val="41"/>
          <w:b/>
          <w:bCs/>
          <w:lang w:val="en-US"/>
        </w:rPr>
        <w:t>测点布置</w:t>
      </w:r>
      <w:r>
        <w:rPr>
          <w:b/>
          <w:bCs/>
        </w:rPr>
        <w:tab/>
      </w:r>
      <w:r>
        <w:rPr>
          <w:b/>
          <w:bCs/>
        </w:rPr>
        <w:fldChar w:fldCharType="begin"/>
      </w:r>
      <w:r>
        <w:rPr>
          <w:b/>
          <w:bCs/>
        </w:rPr>
        <w:instrText xml:space="preserve"> PAGEREF _Toc221528715 \h </w:instrText>
      </w:r>
      <w:r>
        <w:rPr>
          <w:b/>
          <w:bCs/>
        </w:rPr>
        <w:fldChar w:fldCharType="separate"/>
      </w:r>
      <w:r>
        <w:rPr>
          <w:b/>
          <w:bCs/>
        </w:rPr>
        <w:t>45</w:t>
      </w:r>
      <w:r>
        <w:rPr>
          <w:b/>
          <w:bCs/>
        </w:rPr>
        <w:fldChar w:fldCharType="end"/>
      </w:r>
      <w:r>
        <w:rPr>
          <w:b/>
          <w:bCs/>
        </w:rPr>
        <w:fldChar w:fldCharType="end"/>
      </w:r>
    </w:p>
    <w:p w14:paraId="604B6150">
      <w:pPr>
        <w:pStyle w:val="29"/>
        <w:tabs>
          <w:tab w:val="right" w:leader="dot" w:pos="8494"/>
        </w:tabs>
        <w:rPr>
          <w:rFonts w:asciiTheme="minorHAnsi" w:hAnsiTheme="minorHAnsi" w:eastAsiaTheme="minorEastAsia" w:cstheme="minorBidi"/>
          <w:b/>
          <w:bCs/>
          <w:sz w:val="22"/>
          <w:szCs w:val="24"/>
          <w:lang w:val="en-US" w:eastAsia="zh-CN"/>
          <w14:ligatures w14:val="standardContextual"/>
        </w:rPr>
      </w:pPr>
      <w:r>
        <w:fldChar w:fldCharType="begin"/>
      </w:r>
      <w:r>
        <w:instrText xml:space="preserve"> HYPERLINK \l "_Toc221528716" </w:instrText>
      </w:r>
      <w:r>
        <w:fldChar w:fldCharType="separate"/>
      </w:r>
      <w:r>
        <w:rPr>
          <w:rStyle w:val="41"/>
          <w:b/>
          <w:bCs/>
        </w:rPr>
        <w:t>4.4  监测系统</w:t>
      </w:r>
      <w:r>
        <w:rPr>
          <w:b/>
          <w:bCs/>
        </w:rPr>
        <w:tab/>
      </w:r>
      <w:r>
        <w:rPr>
          <w:b/>
          <w:bCs/>
        </w:rPr>
        <w:fldChar w:fldCharType="begin"/>
      </w:r>
      <w:r>
        <w:rPr>
          <w:b/>
          <w:bCs/>
        </w:rPr>
        <w:instrText xml:space="preserve"> PAGEREF _Toc221528716 \h </w:instrText>
      </w:r>
      <w:r>
        <w:rPr>
          <w:b/>
          <w:bCs/>
        </w:rPr>
        <w:fldChar w:fldCharType="separate"/>
      </w:r>
      <w:r>
        <w:rPr>
          <w:b/>
          <w:bCs/>
        </w:rPr>
        <w:t>45</w:t>
      </w:r>
      <w:r>
        <w:rPr>
          <w:b/>
          <w:bCs/>
        </w:rPr>
        <w:fldChar w:fldCharType="end"/>
      </w:r>
      <w:r>
        <w:rPr>
          <w:b/>
          <w:bCs/>
        </w:rPr>
        <w:fldChar w:fldCharType="end"/>
      </w:r>
    </w:p>
    <w:p w14:paraId="46E12B6E">
      <w:pPr>
        <w:pStyle w:val="24"/>
        <w:tabs>
          <w:tab w:val="right" w:leader="dot" w:pos="8494"/>
        </w:tabs>
        <w:rPr>
          <w:rFonts w:asciiTheme="minorHAnsi" w:hAnsiTheme="minorHAnsi" w:eastAsiaTheme="minorEastAsia" w:cstheme="minorBidi"/>
          <w:b/>
          <w:bCs/>
          <w:sz w:val="22"/>
          <w:szCs w:val="24"/>
          <w14:ligatures w14:val="standardContextual"/>
        </w:rPr>
      </w:pPr>
      <w:r>
        <w:fldChar w:fldCharType="begin"/>
      </w:r>
      <w:r>
        <w:instrText xml:space="preserve"> HYPERLINK \l "_Toc221528717" </w:instrText>
      </w:r>
      <w:r>
        <w:fldChar w:fldCharType="separate"/>
      </w:r>
      <w:r>
        <w:rPr>
          <w:rStyle w:val="41"/>
          <w:b/>
          <w:bCs/>
        </w:rPr>
        <w:t>5  监测数据管理</w:t>
      </w:r>
      <w:r>
        <w:rPr>
          <w:b/>
          <w:bCs/>
        </w:rPr>
        <w:tab/>
      </w:r>
      <w:r>
        <w:rPr>
          <w:b/>
          <w:bCs/>
        </w:rPr>
        <w:fldChar w:fldCharType="begin"/>
      </w:r>
      <w:r>
        <w:rPr>
          <w:b/>
          <w:bCs/>
        </w:rPr>
        <w:instrText xml:space="preserve"> PAGEREF _Toc221528717 \h </w:instrText>
      </w:r>
      <w:r>
        <w:rPr>
          <w:b/>
          <w:bCs/>
        </w:rPr>
        <w:fldChar w:fldCharType="separate"/>
      </w:r>
      <w:r>
        <w:rPr>
          <w:b/>
          <w:bCs/>
        </w:rPr>
        <w:t>46</w:t>
      </w:r>
      <w:r>
        <w:rPr>
          <w:b/>
          <w:bCs/>
        </w:rPr>
        <w:fldChar w:fldCharType="end"/>
      </w:r>
      <w:r>
        <w:rPr>
          <w:b/>
          <w:bCs/>
        </w:rPr>
        <w:fldChar w:fldCharType="end"/>
      </w:r>
    </w:p>
    <w:p w14:paraId="474BEDFB">
      <w:pPr>
        <w:pStyle w:val="29"/>
        <w:tabs>
          <w:tab w:val="right" w:leader="dot" w:pos="8494"/>
        </w:tabs>
        <w:rPr>
          <w:rFonts w:asciiTheme="minorHAnsi" w:hAnsiTheme="minorHAnsi" w:eastAsiaTheme="minorEastAsia" w:cstheme="minorBidi"/>
          <w:b/>
          <w:bCs/>
          <w:sz w:val="22"/>
          <w:szCs w:val="24"/>
          <w:lang w:val="en-US" w:eastAsia="zh-CN"/>
          <w14:ligatures w14:val="standardContextual"/>
        </w:rPr>
      </w:pPr>
      <w:r>
        <w:fldChar w:fldCharType="begin"/>
      </w:r>
      <w:r>
        <w:instrText xml:space="preserve"> HYPERLINK \l "_Toc221528718" </w:instrText>
      </w:r>
      <w:r>
        <w:fldChar w:fldCharType="separate"/>
      </w:r>
      <w:r>
        <w:rPr>
          <w:rStyle w:val="41"/>
          <w:b/>
          <w:bCs/>
        </w:rPr>
        <w:t>5.1  一般规定</w:t>
      </w:r>
      <w:r>
        <w:rPr>
          <w:b/>
          <w:bCs/>
        </w:rPr>
        <w:tab/>
      </w:r>
      <w:r>
        <w:rPr>
          <w:b/>
          <w:bCs/>
        </w:rPr>
        <w:fldChar w:fldCharType="begin"/>
      </w:r>
      <w:r>
        <w:rPr>
          <w:b/>
          <w:bCs/>
        </w:rPr>
        <w:instrText xml:space="preserve"> PAGEREF _Toc221528718 \h </w:instrText>
      </w:r>
      <w:r>
        <w:rPr>
          <w:b/>
          <w:bCs/>
        </w:rPr>
        <w:fldChar w:fldCharType="separate"/>
      </w:r>
      <w:r>
        <w:rPr>
          <w:b/>
          <w:bCs/>
        </w:rPr>
        <w:t>46</w:t>
      </w:r>
      <w:r>
        <w:rPr>
          <w:b/>
          <w:bCs/>
        </w:rPr>
        <w:fldChar w:fldCharType="end"/>
      </w:r>
      <w:r>
        <w:rPr>
          <w:b/>
          <w:bCs/>
        </w:rPr>
        <w:fldChar w:fldCharType="end"/>
      </w:r>
    </w:p>
    <w:p w14:paraId="46F599EA">
      <w:pPr>
        <w:pStyle w:val="29"/>
        <w:tabs>
          <w:tab w:val="right" w:leader="dot" w:pos="8494"/>
        </w:tabs>
        <w:rPr>
          <w:rFonts w:asciiTheme="minorHAnsi" w:hAnsiTheme="minorHAnsi" w:eastAsiaTheme="minorEastAsia" w:cstheme="minorBidi"/>
          <w:b/>
          <w:bCs/>
          <w:sz w:val="22"/>
          <w:szCs w:val="24"/>
          <w:lang w:val="en-US" w:eastAsia="zh-CN"/>
          <w14:ligatures w14:val="standardContextual"/>
        </w:rPr>
      </w:pPr>
      <w:r>
        <w:fldChar w:fldCharType="begin"/>
      </w:r>
      <w:r>
        <w:instrText xml:space="preserve"> HYPERLINK \l "_Toc221528719" </w:instrText>
      </w:r>
      <w:r>
        <w:fldChar w:fldCharType="separate"/>
      </w:r>
      <w:r>
        <w:rPr>
          <w:rStyle w:val="41"/>
          <w:b/>
          <w:bCs/>
        </w:rPr>
        <w:t>5.</w:t>
      </w:r>
      <w:r>
        <w:rPr>
          <w:rStyle w:val="41"/>
          <w:b/>
          <w:bCs/>
          <w:lang w:val="en-US"/>
        </w:rPr>
        <w:t>2</w:t>
      </w:r>
      <w:r>
        <w:rPr>
          <w:rStyle w:val="41"/>
          <w:b/>
          <w:bCs/>
        </w:rPr>
        <w:t xml:space="preserve">  </w:t>
      </w:r>
      <w:r>
        <w:rPr>
          <w:rStyle w:val="41"/>
          <w:b/>
          <w:bCs/>
          <w:lang w:val="en-US"/>
        </w:rPr>
        <w:t>数据采集</w:t>
      </w:r>
      <w:r>
        <w:rPr>
          <w:b/>
          <w:bCs/>
        </w:rPr>
        <w:tab/>
      </w:r>
      <w:r>
        <w:rPr>
          <w:b/>
          <w:bCs/>
        </w:rPr>
        <w:fldChar w:fldCharType="begin"/>
      </w:r>
      <w:r>
        <w:rPr>
          <w:b/>
          <w:bCs/>
        </w:rPr>
        <w:instrText xml:space="preserve"> PAGEREF _Toc221528719 \h </w:instrText>
      </w:r>
      <w:r>
        <w:rPr>
          <w:b/>
          <w:bCs/>
        </w:rPr>
        <w:fldChar w:fldCharType="separate"/>
      </w:r>
      <w:r>
        <w:rPr>
          <w:b/>
          <w:bCs/>
        </w:rPr>
        <w:t>46</w:t>
      </w:r>
      <w:r>
        <w:rPr>
          <w:b/>
          <w:bCs/>
        </w:rPr>
        <w:fldChar w:fldCharType="end"/>
      </w:r>
      <w:r>
        <w:rPr>
          <w:b/>
          <w:bCs/>
        </w:rPr>
        <w:fldChar w:fldCharType="end"/>
      </w:r>
    </w:p>
    <w:p w14:paraId="571E76C8">
      <w:pPr>
        <w:pStyle w:val="29"/>
        <w:tabs>
          <w:tab w:val="right" w:leader="dot" w:pos="8494"/>
        </w:tabs>
        <w:rPr>
          <w:rFonts w:asciiTheme="minorHAnsi" w:hAnsiTheme="minorHAnsi" w:eastAsiaTheme="minorEastAsia" w:cstheme="minorBidi"/>
          <w:b/>
          <w:bCs/>
          <w:sz w:val="22"/>
          <w:szCs w:val="24"/>
          <w:lang w:val="en-US" w:eastAsia="zh-CN"/>
          <w14:ligatures w14:val="standardContextual"/>
        </w:rPr>
      </w:pPr>
      <w:r>
        <w:fldChar w:fldCharType="begin"/>
      </w:r>
      <w:r>
        <w:instrText xml:space="preserve"> HYPERLINK \l "_Toc221528720" </w:instrText>
      </w:r>
      <w:r>
        <w:fldChar w:fldCharType="separate"/>
      </w:r>
      <w:r>
        <w:rPr>
          <w:rStyle w:val="41"/>
          <w:b/>
          <w:bCs/>
        </w:rPr>
        <w:t>5.</w:t>
      </w:r>
      <w:r>
        <w:rPr>
          <w:rStyle w:val="41"/>
          <w:b/>
          <w:bCs/>
          <w:lang w:val="en-US"/>
        </w:rPr>
        <w:t>3</w:t>
      </w:r>
      <w:r>
        <w:rPr>
          <w:rStyle w:val="41"/>
          <w:b/>
          <w:bCs/>
        </w:rPr>
        <w:t xml:space="preserve">  </w:t>
      </w:r>
      <w:r>
        <w:rPr>
          <w:rStyle w:val="41"/>
          <w:b/>
          <w:bCs/>
          <w:lang w:val="en-US"/>
        </w:rPr>
        <w:t>数据编码</w:t>
      </w:r>
      <w:r>
        <w:rPr>
          <w:b/>
          <w:bCs/>
        </w:rPr>
        <w:tab/>
      </w:r>
      <w:r>
        <w:rPr>
          <w:b/>
          <w:bCs/>
        </w:rPr>
        <w:fldChar w:fldCharType="begin"/>
      </w:r>
      <w:r>
        <w:rPr>
          <w:b/>
          <w:bCs/>
        </w:rPr>
        <w:instrText xml:space="preserve"> PAGEREF _Toc221528720 \h </w:instrText>
      </w:r>
      <w:r>
        <w:rPr>
          <w:b/>
          <w:bCs/>
        </w:rPr>
        <w:fldChar w:fldCharType="separate"/>
      </w:r>
      <w:r>
        <w:rPr>
          <w:b/>
          <w:bCs/>
        </w:rPr>
        <w:t>47</w:t>
      </w:r>
      <w:r>
        <w:rPr>
          <w:b/>
          <w:bCs/>
        </w:rPr>
        <w:fldChar w:fldCharType="end"/>
      </w:r>
      <w:r>
        <w:rPr>
          <w:b/>
          <w:bCs/>
        </w:rPr>
        <w:fldChar w:fldCharType="end"/>
      </w:r>
    </w:p>
    <w:p w14:paraId="46BFA927">
      <w:pPr>
        <w:pStyle w:val="29"/>
        <w:tabs>
          <w:tab w:val="right" w:leader="dot" w:pos="8494"/>
        </w:tabs>
        <w:rPr>
          <w:rFonts w:asciiTheme="minorHAnsi" w:hAnsiTheme="minorHAnsi" w:eastAsiaTheme="minorEastAsia" w:cstheme="minorBidi"/>
          <w:b/>
          <w:bCs/>
          <w:sz w:val="22"/>
          <w:szCs w:val="24"/>
          <w:lang w:val="en-US" w:eastAsia="zh-CN"/>
          <w14:ligatures w14:val="standardContextual"/>
        </w:rPr>
      </w:pPr>
      <w:r>
        <w:fldChar w:fldCharType="begin"/>
      </w:r>
      <w:r>
        <w:instrText xml:space="preserve"> HYPERLINK \l "_Toc221528721" </w:instrText>
      </w:r>
      <w:r>
        <w:fldChar w:fldCharType="separate"/>
      </w:r>
      <w:r>
        <w:rPr>
          <w:rStyle w:val="41"/>
          <w:b/>
          <w:bCs/>
        </w:rPr>
        <w:t>5.</w:t>
      </w:r>
      <w:r>
        <w:rPr>
          <w:rStyle w:val="41"/>
          <w:b/>
          <w:bCs/>
          <w:lang w:val="en-US"/>
        </w:rPr>
        <w:t>4</w:t>
      </w:r>
      <w:r>
        <w:rPr>
          <w:rStyle w:val="41"/>
          <w:b/>
          <w:bCs/>
        </w:rPr>
        <w:t xml:space="preserve">  </w:t>
      </w:r>
      <w:r>
        <w:rPr>
          <w:rStyle w:val="41"/>
          <w:b/>
          <w:bCs/>
          <w:lang w:val="en-US"/>
        </w:rPr>
        <w:t>数据传输</w:t>
      </w:r>
      <w:r>
        <w:rPr>
          <w:b/>
          <w:bCs/>
        </w:rPr>
        <w:tab/>
      </w:r>
      <w:r>
        <w:rPr>
          <w:b/>
          <w:bCs/>
        </w:rPr>
        <w:fldChar w:fldCharType="begin"/>
      </w:r>
      <w:r>
        <w:rPr>
          <w:b/>
          <w:bCs/>
        </w:rPr>
        <w:instrText xml:space="preserve"> PAGEREF _Toc221528721 \h </w:instrText>
      </w:r>
      <w:r>
        <w:rPr>
          <w:b/>
          <w:bCs/>
        </w:rPr>
        <w:fldChar w:fldCharType="separate"/>
      </w:r>
      <w:r>
        <w:rPr>
          <w:b/>
          <w:bCs/>
        </w:rPr>
        <w:t>47</w:t>
      </w:r>
      <w:r>
        <w:rPr>
          <w:b/>
          <w:bCs/>
        </w:rPr>
        <w:fldChar w:fldCharType="end"/>
      </w:r>
      <w:r>
        <w:rPr>
          <w:b/>
          <w:bCs/>
        </w:rPr>
        <w:fldChar w:fldCharType="end"/>
      </w:r>
    </w:p>
    <w:p w14:paraId="41C9167C">
      <w:pPr>
        <w:pStyle w:val="29"/>
        <w:tabs>
          <w:tab w:val="right" w:leader="dot" w:pos="8494"/>
        </w:tabs>
        <w:rPr>
          <w:rFonts w:asciiTheme="minorHAnsi" w:hAnsiTheme="minorHAnsi" w:eastAsiaTheme="minorEastAsia" w:cstheme="minorBidi"/>
          <w:b/>
          <w:bCs/>
          <w:sz w:val="22"/>
          <w:szCs w:val="24"/>
          <w:lang w:val="en-US" w:eastAsia="zh-CN"/>
          <w14:ligatures w14:val="standardContextual"/>
        </w:rPr>
      </w:pPr>
      <w:r>
        <w:fldChar w:fldCharType="begin"/>
      </w:r>
      <w:r>
        <w:instrText xml:space="preserve"> HYPERLINK \l "_Toc221528722" </w:instrText>
      </w:r>
      <w:r>
        <w:fldChar w:fldCharType="separate"/>
      </w:r>
      <w:r>
        <w:rPr>
          <w:rStyle w:val="41"/>
          <w:b/>
          <w:bCs/>
        </w:rPr>
        <w:t>5.</w:t>
      </w:r>
      <w:r>
        <w:rPr>
          <w:rStyle w:val="41"/>
          <w:b/>
          <w:bCs/>
          <w:lang w:val="en-US"/>
        </w:rPr>
        <w:t>5</w:t>
      </w:r>
      <w:r>
        <w:rPr>
          <w:rStyle w:val="41"/>
          <w:b/>
          <w:bCs/>
        </w:rPr>
        <w:t xml:space="preserve">  </w:t>
      </w:r>
      <w:r>
        <w:rPr>
          <w:rStyle w:val="41"/>
          <w:b/>
          <w:bCs/>
          <w:lang w:val="en-US"/>
        </w:rPr>
        <w:t>数据处理与分析</w:t>
      </w:r>
      <w:r>
        <w:rPr>
          <w:b/>
          <w:bCs/>
        </w:rPr>
        <w:tab/>
      </w:r>
      <w:r>
        <w:rPr>
          <w:b/>
          <w:bCs/>
        </w:rPr>
        <w:fldChar w:fldCharType="begin"/>
      </w:r>
      <w:r>
        <w:rPr>
          <w:b/>
          <w:bCs/>
        </w:rPr>
        <w:instrText xml:space="preserve"> PAGEREF _Toc221528722 \h </w:instrText>
      </w:r>
      <w:r>
        <w:rPr>
          <w:b/>
          <w:bCs/>
        </w:rPr>
        <w:fldChar w:fldCharType="separate"/>
      </w:r>
      <w:r>
        <w:rPr>
          <w:b/>
          <w:bCs/>
        </w:rPr>
        <w:t>48</w:t>
      </w:r>
      <w:r>
        <w:rPr>
          <w:b/>
          <w:bCs/>
        </w:rPr>
        <w:fldChar w:fldCharType="end"/>
      </w:r>
      <w:r>
        <w:rPr>
          <w:b/>
          <w:bCs/>
        </w:rPr>
        <w:fldChar w:fldCharType="end"/>
      </w:r>
    </w:p>
    <w:p w14:paraId="5A705A4D">
      <w:pPr>
        <w:pStyle w:val="29"/>
        <w:tabs>
          <w:tab w:val="right" w:leader="dot" w:pos="8494"/>
        </w:tabs>
        <w:rPr>
          <w:rFonts w:asciiTheme="minorHAnsi" w:hAnsiTheme="minorHAnsi" w:eastAsiaTheme="minorEastAsia" w:cstheme="minorBidi"/>
          <w:b/>
          <w:bCs/>
          <w:sz w:val="22"/>
          <w:szCs w:val="24"/>
          <w:lang w:val="en-US" w:eastAsia="zh-CN"/>
          <w14:ligatures w14:val="standardContextual"/>
        </w:rPr>
      </w:pPr>
      <w:r>
        <w:fldChar w:fldCharType="begin"/>
      </w:r>
      <w:r>
        <w:instrText xml:space="preserve"> HYPERLINK \l "_Toc221528723" </w:instrText>
      </w:r>
      <w:r>
        <w:fldChar w:fldCharType="separate"/>
      </w:r>
      <w:r>
        <w:rPr>
          <w:rStyle w:val="41"/>
          <w:b/>
          <w:bCs/>
        </w:rPr>
        <w:t>5.</w:t>
      </w:r>
      <w:r>
        <w:rPr>
          <w:rStyle w:val="41"/>
          <w:b/>
          <w:bCs/>
          <w:lang w:val="en-US"/>
        </w:rPr>
        <w:t>6</w:t>
      </w:r>
      <w:r>
        <w:rPr>
          <w:rStyle w:val="41"/>
          <w:b/>
          <w:bCs/>
        </w:rPr>
        <w:t xml:space="preserve">  </w:t>
      </w:r>
      <w:r>
        <w:rPr>
          <w:rStyle w:val="41"/>
          <w:b/>
          <w:bCs/>
          <w:lang w:val="en-US"/>
        </w:rPr>
        <w:t>数据存储</w:t>
      </w:r>
      <w:r>
        <w:rPr>
          <w:b/>
          <w:bCs/>
        </w:rPr>
        <w:tab/>
      </w:r>
      <w:r>
        <w:rPr>
          <w:b/>
          <w:bCs/>
        </w:rPr>
        <w:fldChar w:fldCharType="begin"/>
      </w:r>
      <w:r>
        <w:rPr>
          <w:b/>
          <w:bCs/>
        </w:rPr>
        <w:instrText xml:space="preserve"> PAGEREF _Toc221528723 \h </w:instrText>
      </w:r>
      <w:r>
        <w:rPr>
          <w:b/>
          <w:bCs/>
        </w:rPr>
        <w:fldChar w:fldCharType="separate"/>
      </w:r>
      <w:r>
        <w:rPr>
          <w:b/>
          <w:bCs/>
        </w:rPr>
        <w:t>48</w:t>
      </w:r>
      <w:r>
        <w:rPr>
          <w:b/>
          <w:bCs/>
        </w:rPr>
        <w:fldChar w:fldCharType="end"/>
      </w:r>
      <w:r>
        <w:rPr>
          <w:b/>
          <w:bCs/>
        </w:rPr>
        <w:fldChar w:fldCharType="end"/>
      </w:r>
    </w:p>
    <w:p w14:paraId="23453236">
      <w:pPr>
        <w:pStyle w:val="29"/>
        <w:tabs>
          <w:tab w:val="right" w:leader="dot" w:pos="8494"/>
        </w:tabs>
        <w:rPr>
          <w:rFonts w:asciiTheme="minorHAnsi" w:hAnsiTheme="minorHAnsi" w:eastAsiaTheme="minorEastAsia" w:cstheme="minorBidi"/>
          <w:b/>
          <w:bCs/>
          <w:sz w:val="22"/>
          <w:szCs w:val="24"/>
          <w:lang w:val="en-US" w:eastAsia="zh-CN"/>
          <w14:ligatures w14:val="standardContextual"/>
        </w:rPr>
      </w:pPr>
      <w:r>
        <w:fldChar w:fldCharType="begin"/>
      </w:r>
      <w:r>
        <w:instrText xml:space="preserve"> HYPERLINK \l "_Toc221528724" </w:instrText>
      </w:r>
      <w:r>
        <w:fldChar w:fldCharType="separate"/>
      </w:r>
      <w:r>
        <w:rPr>
          <w:rStyle w:val="41"/>
          <w:b/>
          <w:bCs/>
        </w:rPr>
        <w:t>5.</w:t>
      </w:r>
      <w:r>
        <w:rPr>
          <w:rStyle w:val="41"/>
          <w:b/>
          <w:bCs/>
          <w:lang w:val="en-US"/>
        </w:rPr>
        <w:t>7</w:t>
      </w:r>
      <w:r>
        <w:rPr>
          <w:rStyle w:val="41"/>
          <w:b/>
          <w:bCs/>
        </w:rPr>
        <w:t xml:space="preserve">  </w:t>
      </w:r>
      <w:r>
        <w:rPr>
          <w:rStyle w:val="41"/>
          <w:b/>
          <w:bCs/>
          <w:lang w:val="en-US"/>
        </w:rPr>
        <w:t>数据交互与安全</w:t>
      </w:r>
      <w:r>
        <w:rPr>
          <w:b/>
          <w:bCs/>
        </w:rPr>
        <w:tab/>
      </w:r>
      <w:r>
        <w:rPr>
          <w:b/>
          <w:bCs/>
        </w:rPr>
        <w:fldChar w:fldCharType="begin"/>
      </w:r>
      <w:r>
        <w:rPr>
          <w:b/>
          <w:bCs/>
        </w:rPr>
        <w:instrText xml:space="preserve"> PAGEREF _Toc221528724 \h </w:instrText>
      </w:r>
      <w:r>
        <w:rPr>
          <w:b/>
          <w:bCs/>
        </w:rPr>
        <w:fldChar w:fldCharType="separate"/>
      </w:r>
      <w:r>
        <w:rPr>
          <w:b/>
          <w:bCs/>
        </w:rPr>
        <w:t>49</w:t>
      </w:r>
      <w:r>
        <w:rPr>
          <w:b/>
          <w:bCs/>
        </w:rPr>
        <w:fldChar w:fldCharType="end"/>
      </w:r>
      <w:r>
        <w:rPr>
          <w:b/>
          <w:bCs/>
        </w:rPr>
        <w:fldChar w:fldCharType="end"/>
      </w:r>
    </w:p>
    <w:p w14:paraId="30A40D39">
      <w:pPr>
        <w:pStyle w:val="24"/>
        <w:tabs>
          <w:tab w:val="right" w:leader="dot" w:pos="8494"/>
        </w:tabs>
        <w:rPr>
          <w:rFonts w:asciiTheme="minorHAnsi" w:hAnsiTheme="minorHAnsi" w:eastAsiaTheme="minorEastAsia" w:cstheme="minorBidi"/>
          <w:b/>
          <w:bCs/>
          <w:sz w:val="22"/>
          <w:szCs w:val="24"/>
          <w14:ligatures w14:val="standardContextual"/>
        </w:rPr>
      </w:pPr>
      <w:r>
        <w:fldChar w:fldCharType="begin"/>
      </w:r>
      <w:r>
        <w:instrText xml:space="preserve"> HYPERLINK \l "_Toc221528725" </w:instrText>
      </w:r>
      <w:r>
        <w:fldChar w:fldCharType="separate"/>
      </w:r>
      <w:r>
        <w:rPr>
          <w:rStyle w:val="41"/>
          <w:b/>
          <w:bCs/>
        </w:rPr>
        <w:t>6  预警分区与预警方式</w:t>
      </w:r>
      <w:r>
        <w:rPr>
          <w:b/>
          <w:bCs/>
        </w:rPr>
        <w:tab/>
      </w:r>
      <w:r>
        <w:rPr>
          <w:b/>
          <w:bCs/>
        </w:rPr>
        <w:fldChar w:fldCharType="begin"/>
      </w:r>
      <w:r>
        <w:rPr>
          <w:b/>
          <w:bCs/>
        </w:rPr>
        <w:instrText xml:space="preserve"> PAGEREF _Toc221528725 \h </w:instrText>
      </w:r>
      <w:r>
        <w:rPr>
          <w:b/>
          <w:bCs/>
        </w:rPr>
        <w:fldChar w:fldCharType="separate"/>
      </w:r>
      <w:r>
        <w:rPr>
          <w:b/>
          <w:bCs/>
        </w:rPr>
        <w:t>49</w:t>
      </w:r>
      <w:r>
        <w:rPr>
          <w:b/>
          <w:bCs/>
        </w:rPr>
        <w:fldChar w:fldCharType="end"/>
      </w:r>
      <w:r>
        <w:rPr>
          <w:b/>
          <w:bCs/>
        </w:rPr>
        <w:fldChar w:fldCharType="end"/>
      </w:r>
    </w:p>
    <w:p w14:paraId="209C01C0">
      <w:pPr>
        <w:pStyle w:val="29"/>
        <w:tabs>
          <w:tab w:val="right" w:leader="dot" w:pos="8494"/>
        </w:tabs>
        <w:rPr>
          <w:rFonts w:asciiTheme="minorHAnsi" w:hAnsiTheme="minorHAnsi" w:eastAsiaTheme="minorEastAsia" w:cstheme="minorBidi"/>
          <w:b/>
          <w:bCs/>
          <w:sz w:val="22"/>
          <w:szCs w:val="24"/>
          <w:lang w:val="en-US" w:eastAsia="zh-CN"/>
          <w14:ligatures w14:val="standardContextual"/>
        </w:rPr>
      </w:pPr>
      <w:r>
        <w:fldChar w:fldCharType="begin"/>
      </w:r>
      <w:r>
        <w:instrText xml:space="preserve"> HYPERLINK \l "_Toc221528726" </w:instrText>
      </w:r>
      <w:r>
        <w:fldChar w:fldCharType="separate"/>
      </w:r>
      <w:r>
        <w:rPr>
          <w:rStyle w:val="41"/>
          <w:b/>
          <w:bCs/>
        </w:rPr>
        <w:t>6.1  预警分区</w:t>
      </w:r>
      <w:r>
        <w:rPr>
          <w:b/>
          <w:bCs/>
        </w:rPr>
        <w:tab/>
      </w:r>
      <w:r>
        <w:rPr>
          <w:b/>
          <w:bCs/>
        </w:rPr>
        <w:fldChar w:fldCharType="begin"/>
      </w:r>
      <w:r>
        <w:rPr>
          <w:b/>
          <w:bCs/>
        </w:rPr>
        <w:instrText xml:space="preserve"> PAGEREF _Toc221528726 \h </w:instrText>
      </w:r>
      <w:r>
        <w:rPr>
          <w:b/>
          <w:bCs/>
        </w:rPr>
        <w:fldChar w:fldCharType="separate"/>
      </w:r>
      <w:r>
        <w:rPr>
          <w:b/>
          <w:bCs/>
        </w:rPr>
        <w:t>49</w:t>
      </w:r>
      <w:r>
        <w:rPr>
          <w:b/>
          <w:bCs/>
        </w:rPr>
        <w:fldChar w:fldCharType="end"/>
      </w:r>
      <w:r>
        <w:rPr>
          <w:b/>
          <w:bCs/>
        </w:rPr>
        <w:fldChar w:fldCharType="end"/>
      </w:r>
    </w:p>
    <w:p w14:paraId="1BFBE583">
      <w:pPr>
        <w:pStyle w:val="29"/>
        <w:tabs>
          <w:tab w:val="right" w:leader="dot" w:pos="8494"/>
        </w:tabs>
        <w:rPr>
          <w:rFonts w:asciiTheme="minorHAnsi" w:hAnsiTheme="minorHAnsi" w:eastAsiaTheme="minorEastAsia" w:cstheme="minorBidi"/>
          <w:b/>
          <w:bCs/>
          <w:sz w:val="22"/>
          <w:szCs w:val="24"/>
          <w:lang w:val="en-US" w:eastAsia="zh-CN"/>
          <w14:ligatures w14:val="standardContextual"/>
        </w:rPr>
      </w:pPr>
      <w:r>
        <w:fldChar w:fldCharType="begin"/>
      </w:r>
      <w:r>
        <w:instrText xml:space="preserve"> HYPERLINK \l "_Toc221528727" </w:instrText>
      </w:r>
      <w:r>
        <w:fldChar w:fldCharType="separate"/>
      </w:r>
      <w:r>
        <w:rPr>
          <w:rStyle w:val="41"/>
          <w:b/>
          <w:bCs/>
        </w:rPr>
        <w:t>6.2  预警方式</w:t>
      </w:r>
      <w:r>
        <w:rPr>
          <w:b/>
          <w:bCs/>
        </w:rPr>
        <w:tab/>
      </w:r>
      <w:r>
        <w:rPr>
          <w:b/>
          <w:bCs/>
        </w:rPr>
        <w:fldChar w:fldCharType="begin"/>
      </w:r>
      <w:r>
        <w:rPr>
          <w:b/>
          <w:bCs/>
        </w:rPr>
        <w:instrText xml:space="preserve"> PAGEREF _Toc221528727 \h </w:instrText>
      </w:r>
      <w:r>
        <w:rPr>
          <w:b/>
          <w:bCs/>
        </w:rPr>
        <w:fldChar w:fldCharType="separate"/>
      </w:r>
      <w:r>
        <w:rPr>
          <w:b/>
          <w:bCs/>
        </w:rPr>
        <w:t>49</w:t>
      </w:r>
      <w:r>
        <w:rPr>
          <w:b/>
          <w:bCs/>
        </w:rPr>
        <w:fldChar w:fldCharType="end"/>
      </w:r>
      <w:r>
        <w:rPr>
          <w:b/>
          <w:bCs/>
        </w:rPr>
        <w:fldChar w:fldCharType="end"/>
      </w:r>
    </w:p>
    <w:p w14:paraId="29A0A65D">
      <w:pPr>
        <w:pStyle w:val="24"/>
        <w:tabs>
          <w:tab w:val="right" w:leader="dot" w:pos="8494"/>
        </w:tabs>
        <w:rPr>
          <w:rFonts w:asciiTheme="minorHAnsi" w:hAnsiTheme="minorHAnsi" w:eastAsiaTheme="minorEastAsia" w:cstheme="minorBidi"/>
          <w:b/>
          <w:bCs/>
          <w:sz w:val="22"/>
          <w:szCs w:val="24"/>
          <w14:ligatures w14:val="standardContextual"/>
        </w:rPr>
      </w:pPr>
      <w:r>
        <w:fldChar w:fldCharType="begin"/>
      </w:r>
      <w:r>
        <w:instrText xml:space="preserve"> HYPERLINK \l "_Toc221528728" </w:instrText>
      </w:r>
      <w:r>
        <w:fldChar w:fldCharType="separate"/>
      </w:r>
      <w:r>
        <w:rPr>
          <w:rStyle w:val="41"/>
          <w:b/>
          <w:bCs/>
        </w:rPr>
        <w:t>7  监测系统验收</w:t>
      </w:r>
      <w:r>
        <w:rPr>
          <w:b/>
          <w:bCs/>
        </w:rPr>
        <w:tab/>
      </w:r>
      <w:r>
        <w:rPr>
          <w:b/>
          <w:bCs/>
        </w:rPr>
        <w:fldChar w:fldCharType="begin"/>
      </w:r>
      <w:r>
        <w:rPr>
          <w:b/>
          <w:bCs/>
        </w:rPr>
        <w:instrText xml:space="preserve"> PAGEREF _Toc221528728 \h </w:instrText>
      </w:r>
      <w:r>
        <w:rPr>
          <w:b/>
          <w:bCs/>
        </w:rPr>
        <w:fldChar w:fldCharType="separate"/>
      </w:r>
      <w:r>
        <w:rPr>
          <w:b/>
          <w:bCs/>
        </w:rPr>
        <w:t>50</w:t>
      </w:r>
      <w:r>
        <w:rPr>
          <w:b/>
          <w:bCs/>
        </w:rPr>
        <w:fldChar w:fldCharType="end"/>
      </w:r>
      <w:r>
        <w:rPr>
          <w:b/>
          <w:bCs/>
        </w:rPr>
        <w:fldChar w:fldCharType="end"/>
      </w:r>
    </w:p>
    <w:p w14:paraId="131AF41C">
      <w:pPr>
        <w:pStyle w:val="29"/>
        <w:tabs>
          <w:tab w:val="right" w:leader="dot" w:pos="8494"/>
        </w:tabs>
        <w:rPr>
          <w:rFonts w:asciiTheme="minorHAnsi" w:hAnsiTheme="minorHAnsi" w:eastAsiaTheme="minorEastAsia" w:cstheme="minorBidi"/>
          <w:b/>
          <w:bCs/>
          <w:sz w:val="22"/>
          <w:szCs w:val="24"/>
          <w:lang w:val="en-US" w:eastAsia="zh-CN"/>
          <w14:ligatures w14:val="standardContextual"/>
        </w:rPr>
      </w:pPr>
      <w:r>
        <w:fldChar w:fldCharType="begin"/>
      </w:r>
      <w:r>
        <w:instrText xml:space="preserve"> HYPERLINK \l "_Toc221528729" </w:instrText>
      </w:r>
      <w:r>
        <w:fldChar w:fldCharType="separate"/>
      </w:r>
      <w:r>
        <w:rPr>
          <w:rStyle w:val="41"/>
          <w:b/>
          <w:bCs/>
        </w:rPr>
        <w:t>7.1  硬件设备验收</w:t>
      </w:r>
      <w:r>
        <w:rPr>
          <w:b/>
          <w:bCs/>
        </w:rPr>
        <w:tab/>
      </w:r>
      <w:r>
        <w:rPr>
          <w:b/>
          <w:bCs/>
        </w:rPr>
        <w:fldChar w:fldCharType="begin"/>
      </w:r>
      <w:r>
        <w:rPr>
          <w:b/>
          <w:bCs/>
        </w:rPr>
        <w:instrText xml:space="preserve"> PAGEREF _Toc221528729 \h </w:instrText>
      </w:r>
      <w:r>
        <w:rPr>
          <w:b/>
          <w:bCs/>
        </w:rPr>
        <w:fldChar w:fldCharType="separate"/>
      </w:r>
      <w:r>
        <w:rPr>
          <w:b/>
          <w:bCs/>
        </w:rPr>
        <w:t>50</w:t>
      </w:r>
      <w:r>
        <w:rPr>
          <w:b/>
          <w:bCs/>
        </w:rPr>
        <w:fldChar w:fldCharType="end"/>
      </w:r>
      <w:r>
        <w:rPr>
          <w:b/>
          <w:bCs/>
        </w:rPr>
        <w:fldChar w:fldCharType="end"/>
      </w:r>
    </w:p>
    <w:p w14:paraId="0C13A41A">
      <w:pPr>
        <w:pStyle w:val="29"/>
        <w:tabs>
          <w:tab w:val="right" w:leader="dot" w:pos="8494"/>
        </w:tabs>
        <w:rPr>
          <w:rFonts w:asciiTheme="minorHAnsi" w:hAnsiTheme="minorHAnsi" w:eastAsiaTheme="minorEastAsia" w:cstheme="minorBidi"/>
          <w:b/>
          <w:bCs/>
          <w:sz w:val="22"/>
          <w:szCs w:val="24"/>
          <w:lang w:val="en-US" w:eastAsia="zh-CN"/>
          <w14:ligatures w14:val="standardContextual"/>
        </w:rPr>
      </w:pPr>
      <w:r>
        <w:fldChar w:fldCharType="begin"/>
      </w:r>
      <w:r>
        <w:instrText xml:space="preserve"> HYPERLINK \l "_Toc221528730" </w:instrText>
      </w:r>
      <w:r>
        <w:fldChar w:fldCharType="separate"/>
      </w:r>
      <w:r>
        <w:rPr>
          <w:rStyle w:val="41"/>
          <w:b/>
          <w:bCs/>
        </w:rPr>
        <w:t>7.2  监测功能验收</w:t>
      </w:r>
      <w:r>
        <w:rPr>
          <w:b/>
          <w:bCs/>
        </w:rPr>
        <w:tab/>
      </w:r>
      <w:r>
        <w:rPr>
          <w:b/>
          <w:bCs/>
        </w:rPr>
        <w:fldChar w:fldCharType="begin"/>
      </w:r>
      <w:r>
        <w:rPr>
          <w:b/>
          <w:bCs/>
        </w:rPr>
        <w:instrText xml:space="preserve"> PAGEREF _Toc221528730 \h </w:instrText>
      </w:r>
      <w:r>
        <w:rPr>
          <w:b/>
          <w:bCs/>
        </w:rPr>
        <w:fldChar w:fldCharType="separate"/>
      </w:r>
      <w:r>
        <w:rPr>
          <w:b/>
          <w:bCs/>
        </w:rPr>
        <w:t>50</w:t>
      </w:r>
      <w:r>
        <w:rPr>
          <w:b/>
          <w:bCs/>
        </w:rPr>
        <w:fldChar w:fldCharType="end"/>
      </w:r>
      <w:r>
        <w:rPr>
          <w:b/>
          <w:bCs/>
        </w:rPr>
        <w:fldChar w:fldCharType="end"/>
      </w:r>
    </w:p>
    <w:p w14:paraId="688B2953">
      <w:pPr>
        <w:pStyle w:val="29"/>
        <w:tabs>
          <w:tab w:val="right" w:leader="dot" w:pos="8494"/>
        </w:tabs>
        <w:rPr>
          <w:rFonts w:asciiTheme="minorHAnsi" w:hAnsiTheme="minorHAnsi" w:eastAsiaTheme="minorEastAsia" w:cstheme="minorBidi"/>
          <w:b/>
          <w:bCs/>
          <w:sz w:val="22"/>
          <w:szCs w:val="24"/>
          <w:lang w:val="en-US" w:eastAsia="zh-CN"/>
          <w14:ligatures w14:val="standardContextual"/>
        </w:rPr>
      </w:pPr>
      <w:r>
        <w:fldChar w:fldCharType="begin"/>
      </w:r>
      <w:r>
        <w:instrText xml:space="preserve"> HYPERLINK \l "_Toc221528731" </w:instrText>
      </w:r>
      <w:r>
        <w:fldChar w:fldCharType="separate"/>
      </w:r>
      <w:r>
        <w:rPr>
          <w:rStyle w:val="41"/>
          <w:b/>
          <w:bCs/>
        </w:rPr>
        <w:t>7.3  预警功能验收</w:t>
      </w:r>
      <w:r>
        <w:rPr>
          <w:b/>
          <w:bCs/>
        </w:rPr>
        <w:tab/>
      </w:r>
      <w:r>
        <w:rPr>
          <w:b/>
          <w:bCs/>
        </w:rPr>
        <w:fldChar w:fldCharType="begin"/>
      </w:r>
      <w:r>
        <w:rPr>
          <w:b/>
          <w:bCs/>
        </w:rPr>
        <w:instrText xml:space="preserve"> PAGEREF _Toc221528731 \h </w:instrText>
      </w:r>
      <w:r>
        <w:rPr>
          <w:b/>
          <w:bCs/>
        </w:rPr>
        <w:fldChar w:fldCharType="separate"/>
      </w:r>
      <w:r>
        <w:rPr>
          <w:b/>
          <w:bCs/>
        </w:rPr>
        <w:t>50</w:t>
      </w:r>
      <w:r>
        <w:rPr>
          <w:b/>
          <w:bCs/>
        </w:rPr>
        <w:fldChar w:fldCharType="end"/>
      </w:r>
      <w:r>
        <w:rPr>
          <w:b/>
          <w:bCs/>
        </w:rPr>
        <w:fldChar w:fldCharType="end"/>
      </w:r>
    </w:p>
    <w:p w14:paraId="3DBD319D">
      <w:pPr>
        <w:pStyle w:val="24"/>
        <w:tabs>
          <w:tab w:val="right" w:leader="dot" w:pos="8494"/>
        </w:tabs>
        <w:rPr>
          <w:rFonts w:asciiTheme="minorHAnsi" w:hAnsiTheme="minorHAnsi" w:eastAsiaTheme="minorEastAsia" w:cstheme="minorBidi"/>
          <w:b/>
          <w:bCs/>
          <w:sz w:val="22"/>
          <w:szCs w:val="24"/>
          <w14:ligatures w14:val="standardContextual"/>
        </w:rPr>
      </w:pPr>
      <w:r>
        <w:fldChar w:fldCharType="begin"/>
      </w:r>
      <w:r>
        <w:instrText xml:space="preserve"> HYPERLINK \l "_Toc221528732" </w:instrText>
      </w:r>
      <w:r>
        <w:fldChar w:fldCharType="separate"/>
      </w:r>
      <w:r>
        <w:rPr>
          <w:rStyle w:val="41"/>
          <w:b/>
          <w:bCs/>
        </w:rPr>
        <w:t>8  监测应用</w:t>
      </w:r>
      <w:r>
        <w:rPr>
          <w:b/>
          <w:bCs/>
        </w:rPr>
        <w:tab/>
      </w:r>
      <w:r>
        <w:rPr>
          <w:b/>
          <w:bCs/>
        </w:rPr>
        <w:fldChar w:fldCharType="begin"/>
      </w:r>
      <w:r>
        <w:rPr>
          <w:b/>
          <w:bCs/>
        </w:rPr>
        <w:instrText xml:space="preserve"> PAGEREF _Toc221528732 \h </w:instrText>
      </w:r>
      <w:r>
        <w:rPr>
          <w:b/>
          <w:bCs/>
        </w:rPr>
        <w:fldChar w:fldCharType="separate"/>
      </w:r>
      <w:r>
        <w:rPr>
          <w:b/>
          <w:bCs/>
        </w:rPr>
        <w:t>51</w:t>
      </w:r>
      <w:r>
        <w:rPr>
          <w:b/>
          <w:bCs/>
        </w:rPr>
        <w:fldChar w:fldCharType="end"/>
      </w:r>
      <w:r>
        <w:rPr>
          <w:b/>
          <w:bCs/>
        </w:rPr>
        <w:fldChar w:fldCharType="end"/>
      </w:r>
    </w:p>
    <w:p w14:paraId="1E25336C">
      <w:pPr>
        <w:pStyle w:val="29"/>
        <w:tabs>
          <w:tab w:val="right" w:leader="dot" w:pos="8494"/>
        </w:tabs>
        <w:rPr>
          <w:rFonts w:asciiTheme="minorHAnsi" w:hAnsiTheme="minorHAnsi" w:eastAsiaTheme="minorEastAsia" w:cstheme="minorBidi"/>
          <w:b/>
          <w:bCs/>
          <w:sz w:val="22"/>
          <w:szCs w:val="24"/>
          <w:lang w:val="en-US" w:eastAsia="zh-CN"/>
          <w14:ligatures w14:val="standardContextual"/>
        </w:rPr>
      </w:pPr>
      <w:r>
        <w:fldChar w:fldCharType="begin"/>
      </w:r>
      <w:r>
        <w:instrText xml:space="preserve"> HYPERLINK \l "_Toc221528733" </w:instrText>
      </w:r>
      <w:r>
        <w:fldChar w:fldCharType="separate"/>
      </w:r>
      <w:r>
        <w:rPr>
          <w:rStyle w:val="41"/>
          <w:b/>
          <w:bCs/>
        </w:rPr>
        <w:t>8.1  一般规定</w:t>
      </w:r>
      <w:r>
        <w:rPr>
          <w:b/>
          <w:bCs/>
        </w:rPr>
        <w:tab/>
      </w:r>
      <w:r>
        <w:rPr>
          <w:b/>
          <w:bCs/>
        </w:rPr>
        <w:fldChar w:fldCharType="begin"/>
      </w:r>
      <w:r>
        <w:rPr>
          <w:b/>
          <w:bCs/>
        </w:rPr>
        <w:instrText xml:space="preserve"> PAGEREF _Toc221528733 \h </w:instrText>
      </w:r>
      <w:r>
        <w:rPr>
          <w:b/>
          <w:bCs/>
        </w:rPr>
        <w:fldChar w:fldCharType="separate"/>
      </w:r>
      <w:r>
        <w:rPr>
          <w:b/>
          <w:bCs/>
        </w:rPr>
        <w:t>51</w:t>
      </w:r>
      <w:r>
        <w:rPr>
          <w:b/>
          <w:bCs/>
        </w:rPr>
        <w:fldChar w:fldCharType="end"/>
      </w:r>
      <w:r>
        <w:rPr>
          <w:b/>
          <w:bCs/>
        </w:rPr>
        <w:fldChar w:fldCharType="end"/>
      </w:r>
    </w:p>
    <w:p w14:paraId="1432727B">
      <w:pPr>
        <w:pStyle w:val="29"/>
        <w:tabs>
          <w:tab w:val="right" w:leader="dot" w:pos="8494"/>
        </w:tabs>
        <w:rPr>
          <w:rFonts w:asciiTheme="minorHAnsi" w:hAnsiTheme="minorHAnsi" w:eastAsiaTheme="minorEastAsia" w:cstheme="minorBidi"/>
          <w:b/>
          <w:bCs/>
          <w:sz w:val="22"/>
          <w:szCs w:val="24"/>
          <w:lang w:val="en-US" w:eastAsia="zh-CN"/>
          <w14:ligatures w14:val="standardContextual"/>
        </w:rPr>
      </w:pPr>
      <w:r>
        <w:fldChar w:fldCharType="begin"/>
      </w:r>
      <w:r>
        <w:instrText xml:space="preserve"> HYPERLINK \l "_Toc221528734" </w:instrText>
      </w:r>
      <w:r>
        <w:fldChar w:fldCharType="separate"/>
      </w:r>
      <w:r>
        <w:rPr>
          <w:rStyle w:val="41"/>
          <w:b/>
          <w:bCs/>
        </w:rPr>
        <w:t>8.</w:t>
      </w:r>
      <w:r>
        <w:rPr>
          <w:rStyle w:val="41"/>
          <w:b/>
          <w:bCs/>
          <w:lang w:val="en-US"/>
        </w:rPr>
        <w:t>2</w:t>
      </w:r>
      <w:r>
        <w:rPr>
          <w:rStyle w:val="41"/>
          <w:b/>
          <w:bCs/>
        </w:rPr>
        <w:t xml:space="preserve">  </w:t>
      </w:r>
      <w:r>
        <w:rPr>
          <w:rStyle w:val="41"/>
          <w:b/>
          <w:bCs/>
          <w:lang w:val="en-US"/>
        </w:rPr>
        <w:t>监测数据分析</w:t>
      </w:r>
      <w:r>
        <w:rPr>
          <w:b/>
          <w:bCs/>
        </w:rPr>
        <w:tab/>
      </w:r>
      <w:r>
        <w:rPr>
          <w:b/>
          <w:bCs/>
        </w:rPr>
        <w:fldChar w:fldCharType="begin"/>
      </w:r>
      <w:r>
        <w:rPr>
          <w:b/>
          <w:bCs/>
        </w:rPr>
        <w:instrText xml:space="preserve"> PAGEREF _Toc221528734 \h </w:instrText>
      </w:r>
      <w:r>
        <w:rPr>
          <w:b/>
          <w:bCs/>
        </w:rPr>
        <w:fldChar w:fldCharType="separate"/>
      </w:r>
      <w:r>
        <w:rPr>
          <w:b/>
          <w:bCs/>
        </w:rPr>
        <w:t>51</w:t>
      </w:r>
      <w:r>
        <w:rPr>
          <w:b/>
          <w:bCs/>
        </w:rPr>
        <w:fldChar w:fldCharType="end"/>
      </w:r>
      <w:r>
        <w:rPr>
          <w:b/>
          <w:bCs/>
        </w:rPr>
        <w:fldChar w:fldCharType="end"/>
      </w:r>
    </w:p>
    <w:p w14:paraId="6E5E8DA8">
      <w:pPr>
        <w:pStyle w:val="29"/>
        <w:tabs>
          <w:tab w:val="right" w:leader="dot" w:pos="8494"/>
        </w:tabs>
        <w:rPr>
          <w:rFonts w:asciiTheme="minorHAnsi" w:hAnsiTheme="minorHAnsi" w:eastAsiaTheme="minorEastAsia" w:cstheme="minorBidi"/>
          <w:b/>
          <w:bCs/>
          <w:sz w:val="22"/>
          <w:szCs w:val="24"/>
          <w:lang w:val="en-US" w:eastAsia="zh-CN"/>
          <w14:ligatures w14:val="standardContextual"/>
        </w:rPr>
      </w:pPr>
      <w:r>
        <w:fldChar w:fldCharType="begin"/>
      </w:r>
      <w:r>
        <w:instrText xml:space="preserve"> HYPERLINK \l "_Toc221528735" </w:instrText>
      </w:r>
      <w:r>
        <w:fldChar w:fldCharType="separate"/>
      </w:r>
      <w:r>
        <w:rPr>
          <w:rStyle w:val="41"/>
          <w:b/>
          <w:bCs/>
        </w:rPr>
        <w:t>8.</w:t>
      </w:r>
      <w:r>
        <w:rPr>
          <w:rStyle w:val="41"/>
          <w:b/>
          <w:bCs/>
          <w:lang w:val="en-US"/>
        </w:rPr>
        <w:t>3</w:t>
      </w:r>
      <w:r>
        <w:rPr>
          <w:rStyle w:val="41"/>
          <w:b/>
          <w:bCs/>
        </w:rPr>
        <w:t xml:space="preserve">  </w:t>
      </w:r>
      <w:r>
        <w:rPr>
          <w:rStyle w:val="41"/>
          <w:b/>
          <w:bCs/>
          <w:lang w:val="en-US"/>
        </w:rPr>
        <w:t>撞后结构状态评估</w:t>
      </w:r>
      <w:r>
        <w:rPr>
          <w:b/>
          <w:bCs/>
        </w:rPr>
        <w:tab/>
      </w:r>
      <w:r>
        <w:rPr>
          <w:b/>
          <w:bCs/>
        </w:rPr>
        <w:fldChar w:fldCharType="begin"/>
      </w:r>
      <w:r>
        <w:rPr>
          <w:b/>
          <w:bCs/>
        </w:rPr>
        <w:instrText xml:space="preserve"> PAGEREF _Toc221528735 \h </w:instrText>
      </w:r>
      <w:r>
        <w:rPr>
          <w:b/>
          <w:bCs/>
        </w:rPr>
        <w:fldChar w:fldCharType="separate"/>
      </w:r>
      <w:r>
        <w:rPr>
          <w:b/>
          <w:bCs/>
        </w:rPr>
        <w:t>51</w:t>
      </w:r>
      <w:r>
        <w:rPr>
          <w:b/>
          <w:bCs/>
        </w:rPr>
        <w:fldChar w:fldCharType="end"/>
      </w:r>
      <w:r>
        <w:rPr>
          <w:b/>
          <w:bCs/>
        </w:rPr>
        <w:fldChar w:fldCharType="end"/>
      </w:r>
    </w:p>
    <w:p w14:paraId="3C6D4FFB">
      <w:pPr>
        <w:pStyle w:val="29"/>
        <w:tabs>
          <w:tab w:val="right" w:leader="dot" w:pos="8494"/>
        </w:tabs>
        <w:rPr>
          <w:rFonts w:asciiTheme="minorHAnsi" w:hAnsiTheme="minorHAnsi" w:eastAsiaTheme="minorEastAsia" w:cstheme="minorBidi"/>
          <w:b/>
          <w:bCs/>
          <w:sz w:val="22"/>
          <w:szCs w:val="24"/>
          <w:lang w:val="en-US" w:eastAsia="zh-CN"/>
          <w14:ligatures w14:val="standardContextual"/>
        </w:rPr>
      </w:pPr>
      <w:r>
        <w:fldChar w:fldCharType="begin"/>
      </w:r>
      <w:r>
        <w:instrText xml:space="preserve"> HYPERLINK \l "_Toc221528736" </w:instrText>
      </w:r>
      <w:r>
        <w:fldChar w:fldCharType="separate"/>
      </w:r>
      <w:r>
        <w:rPr>
          <w:rStyle w:val="41"/>
          <w:b/>
          <w:bCs/>
        </w:rPr>
        <w:t>8.</w:t>
      </w:r>
      <w:r>
        <w:rPr>
          <w:rStyle w:val="41"/>
          <w:b/>
          <w:bCs/>
          <w:lang w:val="en-US"/>
        </w:rPr>
        <w:t>4</w:t>
      </w:r>
      <w:r>
        <w:rPr>
          <w:rStyle w:val="41"/>
          <w:b/>
          <w:bCs/>
        </w:rPr>
        <w:t xml:space="preserve">  </w:t>
      </w:r>
      <w:r>
        <w:rPr>
          <w:rStyle w:val="41"/>
          <w:b/>
          <w:bCs/>
          <w:lang w:val="en-US"/>
        </w:rPr>
        <w:t>撞后应急措施</w:t>
      </w:r>
      <w:r>
        <w:rPr>
          <w:b/>
          <w:bCs/>
        </w:rPr>
        <w:tab/>
      </w:r>
      <w:r>
        <w:rPr>
          <w:b/>
          <w:bCs/>
        </w:rPr>
        <w:fldChar w:fldCharType="begin"/>
      </w:r>
      <w:r>
        <w:rPr>
          <w:b/>
          <w:bCs/>
        </w:rPr>
        <w:instrText xml:space="preserve"> PAGEREF _Toc221528736 \h </w:instrText>
      </w:r>
      <w:r>
        <w:rPr>
          <w:b/>
          <w:bCs/>
        </w:rPr>
        <w:fldChar w:fldCharType="separate"/>
      </w:r>
      <w:r>
        <w:rPr>
          <w:b/>
          <w:bCs/>
        </w:rPr>
        <w:t>52</w:t>
      </w:r>
      <w:r>
        <w:rPr>
          <w:b/>
          <w:bCs/>
        </w:rPr>
        <w:fldChar w:fldCharType="end"/>
      </w:r>
      <w:r>
        <w:rPr>
          <w:b/>
          <w:bCs/>
        </w:rPr>
        <w:fldChar w:fldCharType="end"/>
      </w:r>
    </w:p>
    <w:p w14:paraId="48A22407">
      <w:pPr>
        <w:pStyle w:val="24"/>
        <w:tabs>
          <w:tab w:val="right" w:leader="dot" w:pos="8494"/>
        </w:tabs>
        <w:rPr>
          <w:rFonts w:asciiTheme="minorHAnsi" w:hAnsiTheme="minorHAnsi" w:eastAsiaTheme="minorEastAsia" w:cstheme="minorBidi"/>
          <w:b/>
          <w:bCs/>
          <w:sz w:val="22"/>
          <w:szCs w:val="24"/>
          <w14:ligatures w14:val="standardContextual"/>
        </w:rPr>
      </w:pPr>
      <w:r>
        <w:fldChar w:fldCharType="begin"/>
      </w:r>
      <w:r>
        <w:instrText xml:space="preserve"> HYPERLINK \l "_Toc221528737" </w:instrText>
      </w:r>
      <w:r>
        <w:fldChar w:fldCharType="separate"/>
      </w:r>
      <w:r>
        <w:rPr>
          <w:rStyle w:val="41"/>
          <w:b/>
          <w:bCs/>
        </w:rPr>
        <w:t>9  监测系统运维</w:t>
      </w:r>
      <w:r>
        <w:rPr>
          <w:b/>
          <w:bCs/>
        </w:rPr>
        <w:tab/>
      </w:r>
      <w:r>
        <w:rPr>
          <w:b/>
          <w:bCs/>
        </w:rPr>
        <w:fldChar w:fldCharType="begin"/>
      </w:r>
      <w:r>
        <w:rPr>
          <w:b/>
          <w:bCs/>
        </w:rPr>
        <w:instrText xml:space="preserve"> PAGEREF _Toc221528737 \h </w:instrText>
      </w:r>
      <w:r>
        <w:rPr>
          <w:b/>
          <w:bCs/>
        </w:rPr>
        <w:fldChar w:fldCharType="separate"/>
      </w:r>
      <w:r>
        <w:rPr>
          <w:b/>
          <w:bCs/>
        </w:rPr>
        <w:t>52</w:t>
      </w:r>
      <w:r>
        <w:rPr>
          <w:b/>
          <w:bCs/>
        </w:rPr>
        <w:fldChar w:fldCharType="end"/>
      </w:r>
      <w:r>
        <w:rPr>
          <w:b/>
          <w:bCs/>
        </w:rPr>
        <w:fldChar w:fldCharType="end"/>
      </w:r>
    </w:p>
    <w:p w14:paraId="0F4D0433">
      <w:pPr>
        <w:pStyle w:val="24"/>
        <w:tabs>
          <w:tab w:val="right" w:leader="dot" w:pos="8494"/>
        </w:tabs>
        <w:rPr>
          <w:rFonts w:asciiTheme="minorHAnsi" w:hAnsiTheme="minorHAnsi" w:eastAsiaTheme="minorEastAsia" w:cstheme="minorBidi"/>
          <w:b/>
          <w:bCs/>
          <w:sz w:val="22"/>
          <w:szCs w:val="24"/>
          <w14:ligatures w14:val="standardContextual"/>
        </w:rPr>
      </w:pPr>
      <w:r>
        <w:fldChar w:fldCharType="begin"/>
      </w:r>
      <w:r>
        <w:instrText xml:space="preserve"> HYPERLINK \l "_Toc221528738" </w:instrText>
      </w:r>
      <w:r>
        <w:fldChar w:fldCharType="separate"/>
      </w:r>
      <w:r>
        <w:rPr>
          <w:rStyle w:val="41"/>
          <w:b/>
          <w:bCs/>
        </w:rPr>
        <w:t>附录A（资料性）测点布设示意图</w:t>
      </w:r>
      <w:r>
        <w:rPr>
          <w:b/>
          <w:bCs/>
        </w:rPr>
        <w:tab/>
      </w:r>
      <w:r>
        <w:rPr>
          <w:b/>
          <w:bCs/>
        </w:rPr>
        <w:fldChar w:fldCharType="begin"/>
      </w:r>
      <w:r>
        <w:rPr>
          <w:b/>
          <w:bCs/>
        </w:rPr>
        <w:instrText xml:space="preserve"> PAGEREF _Toc221528738 \h </w:instrText>
      </w:r>
      <w:r>
        <w:rPr>
          <w:b/>
          <w:bCs/>
        </w:rPr>
        <w:fldChar w:fldCharType="separate"/>
      </w:r>
      <w:r>
        <w:rPr>
          <w:b/>
          <w:bCs/>
        </w:rPr>
        <w:t>53</w:t>
      </w:r>
      <w:r>
        <w:rPr>
          <w:b/>
          <w:bCs/>
        </w:rPr>
        <w:fldChar w:fldCharType="end"/>
      </w:r>
      <w:r>
        <w:rPr>
          <w:b/>
          <w:bCs/>
        </w:rPr>
        <w:fldChar w:fldCharType="end"/>
      </w:r>
    </w:p>
    <w:p w14:paraId="18A6E256">
      <w:pPr>
        <w:pStyle w:val="24"/>
        <w:tabs>
          <w:tab w:val="right" w:leader="dot" w:pos="8494"/>
        </w:tabs>
        <w:rPr>
          <w:rFonts w:asciiTheme="minorHAnsi" w:hAnsiTheme="minorHAnsi" w:eastAsiaTheme="minorEastAsia" w:cstheme="minorBidi"/>
          <w:b/>
          <w:bCs/>
          <w:sz w:val="22"/>
          <w:szCs w:val="24"/>
          <w14:ligatures w14:val="standardContextual"/>
        </w:rPr>
      </w:pPr>
      <w:r>
        <w:fldChar w:fldCharType="begin"/>
      </w:r>
      <w:r>
        <w:instrText xml:space="preserve"> HYPERLINK \l "_Toc221528739" </w:instrText>
      </w:r>
      <w:r>
        <w:fldChar w:fldCharType="separate"/>
      </w:r>
      <w:r>
        <w:rPr>
          <w:rStyle w:val="41"/>
          <w:b/>
          <w:bCs/>
        </w:rPr>
        <w:t>附录B（资料性）预警分区示意图</w:t>
      </w:r>
      <w:r>
        <w:rPr>
          <w:b/>
          <w:bCs/>
        </w:rPr>
        <w:tab/>
      </w:r>
      <w:r>
        <w:rPr>
          <w:b/>
          <w:bCs/>
        </w:rPr>
        <w:fldChar w:fldCharType="begin"/>
      </w:r>
      <w:r>
        <w:rPr>
          <w:b/>
          <w:bCs/>
        </w:rPr>
        <w:instrText xml:space="preserve"> PAGEREF _Toc221528739 \h </w:instrText>
      </w:r>
      <w:r>
        <w:rPr>
          <w:b/>
          <w:bCs/>
        </w:rPr>
        <w:fldChar w:fldCharType="separate"/>
      </w:r>
      <w:r>
        <w:rPr>
          <w:b/>
          <w:bCs/>
        </w:rPr>
        <w:t>53</w:t>
      </w:r>
      <w:r>
        <w:rPr>
          <w:b/>
          <w:bCs/>
        </w:rPr>
        <w:fldChar w:fldCharType="end"/>
      </w:r>
      <w:r>
        <w:rPr>
          <w:b/>
          <w:bCs/>
        </w:rPr>
        <w:fldChar w:fldCharType="end"/>
      </w:r>
    </w:p>
    <w:p w14:paraId="5545AD7F">
      <w:pPr>
        <w:pStyle w:val="24"/>
        <w:tabs>
          <w:tab w:val="right" w:leader="dot" w:pos="8494"/>
        </w:tabs>
        <w:rPr>
          <w:rFonts w:asciiTheme="minorHAnsi" w:hAnsiTheme="minorHAnsi" w:eastAsiaTheme="minorEastAsia" w:cstheme="minorBidi"/>
          <w:b/>
          <w:bCs/>
          <w:sz w:val="22"/>
          <w:szCs w:val="24"/>
          <w14:ligatures w14:val="standardContextual"/>
        </w:rPr>
      </w:pPr>
      <w:r>
        <w:fldChar w:fldCharType="begin"/>
      </w:r>
      <w:r>
        <w:instrText xml:space="preserve"> HYPERLINK \l "_Toc221528740" </w:instrText>
      </w:r>
      <w:r>
        <w:fldChar w:fldCharType="separate"/>
      </w:r>
      <w:r>
        <w:rPr>
          <w:rStyle w:val="41"/>
          <w:b/>
          <w:bCs/>
        </w:rPr>
        <w:t>附录C（规范性）监测数据表示形式常用表</w:t>
      </w:r>
      <w:r>
        <w:rPr>
          <w:b/>
          <w:bCs/>
        </w:rPr>
        <w:tab/>
      </w:r>
      <w:r>
        <w:rPr>
          <w:b/>
          <w:bCs/>
        </w:rPr>
        <w:fldChar w:fldCharType="begin"/>
      </w:r>
      <w:r>
        <w:rPr>
          <w:b/>
          <w:bCs/>
        </w:rPr>
        <w:instrText xml:space="preserve"> PAGEREF _Toc221528740 \h </w:instrText>
      </w:r>
      <w:r>
        <w:rPr>
          <w:b/>
          <w:bCs/>
        </w:rPr>
        <w:fldChar w:fldCharType="separate"/>
      </w:r>
      <w:r>
        <w:rPr>
          <w:b/>
          <w:bCs/>
        </w:rPr>
        <w:t>53</w:t>
      </w:r>
      <w:r>
        <w:rPr>
          <w:b/>
          <w:bCs/>
        </w:rPr>
        <w:fldChar w:fldCharType="end"/>
      </w:r>
      <w:r>
        <w:rPr>
          <w:b/>
          <w:bCs/>
        </w:rPr>
        <w:fldChar w:fldCharType="end"/>
      </w:r>
    </w:p>
    <w:p w14:paraId="6D1DBA13">
      <w:pPr>
        <w:pStyle w:val="24"/>
        <w:tabs>
          <w:tab w:val="right" w:leader="dot" w:pos="8494"/>
        </w:tabs>
        <w:rPr>
          <w:rFonts w:asciiTheme="minorHAnsi" w:hAnsiTheme="minorHAnsi" w:eastAsiaTheme="minorEastAsia" w:cstheme="minorBidi"/>
          <w:b/>
          <w:bCs/>
          <w:sz w:val="22"/>
          <w:szCs w:val="24"/>
          <w14:ligatures w14:val="standardContextual"/>
        </w:rPr>
      </w:pPr>
      <w:r>
        <w:fldChar w:fldCharType="begin"/>
      </w:r>
      <w:r>
        <w:instrText xml:space="preserve"> HYPERLINK \l "_Toc221528741" </w:instrText>
      </w:r>
      <w:r>
        <w:fldChar w:fldCharType="separate"/>
      </w:r>
      <w:r>
        <w:rPr>
          <w:rStyle w:val="41"/>
          <w:b/>
          <w:bCs/>
        </w:rPr>
        <w:t>附录D（规范性）防船撞安全距离</w:t>
      </w:r>
      <w:r>
        <w:rPr>
          <w:b/>
          <w:bCs/>
        </w:rPr>
        <w:tab/>
      </w:r>
      <w:r>
        <w:rPr>
          <w:b/>
          <w:bCs/>
        </w:rPr>
        <w:fldChar w:fldCharType="begin"/>
      </w:r>
      <w:r>
        <w:rPr>
          <w:b/>
          <w:bCs/>
        </w:rPr>
        <w:instrText xml:space="preserve"> PAGEREF _Toc221528741 \h </w:instrText>
      </w:r>
      <w:r>
        <w:rPr>
          <w:b/>
          <w:bCs/>
        </w:rPr>
        <w:fldChar w:fldCharType="separate"/>
      </w:r>
      <w:r>
        <w:rPr>
          <w:b/>
          <w:bCs/>
        </w:rPr>
        <w:t>54</w:t>
      </w:r>
      <w:r>
        <w:rPr>
          <w:b/>
          <w:bCs/>
        </w:rPr>
        <w:fldChar w:fldCharType="end"/>
      </w:r>
      <w:r>
        <w:rPr>
          <w:b/>
          <w:bCs/>
        </w:rPr>
        <w:fldChar w:fldCharType="end"/>
      </w:r>
    </w:p>
    <w:p w14:paraId="28785C0C">
      <w:pPr>
        <w:pStyle w:val="24"/>
        <w:tabs>
          <w:tab w:val="right" w:leader="dot" w:pos="8494"/>
        </w:tabs>
        <w:rPr>
          <w:rFonts w:asciiTheme="minorHAnsi" w:hAnsiTheme="minorHAnsi" w:eastAsiaTheme="minorEastAsia" w:cstheme="minorBidi"/>
          <w:b/>
          <w:bCs/>
          <w:sz w:val="22"/>
          <w:szCs w:val="24"/>
          <w14:ligatures w14:val="standardContextual"/>
        </w:rPr>
      </w:pPr>
      <w:r>
        <w:fldChar w:fldCharType="begin"/>
      </w:r>
      <w:r>
        <w:instrText xml:space="preserve"> HYPERLINK \l "_Toc221528742" </w:instrText>
      </w:r>
      <w:r>
        <w:fldChar w:fldCharType="separate"/>
      </w:r>
      <w:r>
        <w:rPr>
          <w:rStyle w:val="41"/>
          <w:b/>
          <w:bCs/>
        </w:rPr>
        <w:t>附录E（资料性）预警信息发布示例</w:t>
      </w:r>
      <w:r>
        <w:rPr>
          <w:b/>
          <w:bCs/>
        </w:rPr>
        <w:tab/>
      </w:r>
      <w:r>
        <w:rPr>
          <w:b/>
          <w:bCs/>
        </w:rPr>
        <w:fldChar w:fldCharType="begin"/>
      </w:r>
      <w:r>
        <w:rPr>
          <w:b/>
          <w:bCs/>
        </w:rPr>
        <w:instrText xml:space="preserve"> PAGEREF _Toc221528742 \h </w:instrText>
      </w:r>
      <w:r>
        <w:rPr>
          <w:b/>
          <w:bCs/>
        </w:rPr>
        <w:fldChar w:fldCharType="separate"/>
      </w:r>
      <w:r>
        <w:rPr>
          <w:b/>
          <w:bCs/>
        </w:rPr>
        <w:t>54</w:t>
      </w:r>
      <w:r>
        <w:rPr>
          <w:b/>
          <w:bCs/>
        </w:rPr>
        <w:fldChar w:fldCharType="end"/>
      </w:r>
      <w:r>
        <w:rPr>
          <w:b/>
          <w:bCs/>
        </w:rPr>
        <w:fldChar w:fldCharType="end"/>
      </w:r>
    </w:p>
    <w:p w14:paraId="413D27AA">
      <w:pPr>
        <w:pStyle w:val="24"/>
        <w:tabs>
          <w:tab w:val="right" w:leader="dot" w:pos="8494"/>
        </w:tabs>
        <w:rPr>
          <w:rFonts w:ascii="宋体" w:hAnsi="宋体" w:cstheme="minorBidi"/>
          <w:b/>
          <w:bCs/>
          <w:sz w:val="22"/>
          <w:szCs w:val="24"/>
          <w14:ligatures w14:val="standardContextual"/>
        </w:rPr>
      </w:pPr>
    </w:p>
    <w:p w14:paraId="57C97BCA">
      <w:pPr>
        <w:spacing w:before="156" w:beforeLines="50" w:line="360" w:lineRule="auto"/>
        <w:jc w:val="center"/>
        <w:rPr>
          <w:rFonts w:ascii="宋体" w:hAnsi="宋体" w:cs="宋体"/>
          <w:color w:val="000000"/>
          <w:kern w:val="0"/>
          <w:sz w:val="28"/>
          <w:szCs w:val="28"/>
        </w:rPr>
        <w:sectPr>
          <w:pgSz w:w="11906" w:h="16838"/>
          <w:pgMar w:top="1417" w:right="1417" w:bottom="1417" w:left="1417" w:header="851" w:footer="992" w:gutter="0"/>
          <w:cols w:space="720" w:num="1"/>
          <w:docGrid w:type="lines" w:linePitch="312" w:charSpace="0"/>
        </w:sectPr>
      </w:pPr>
      <w:r>
        <w:rPr>
          <w:rFonts w:ascii="宋体" w:hAnsi="宋体" w:cs="宋体"/>
          <w:b/>
          <w:color w:val="000000"/>
          <w:kern w:val="0"/>
          <w:sz w:val="28"/>
          <w:szCs w:val="28"/>
        </w:rPr>
        <w:fldChar w:fldCharType="end"/>
      </w:r>
    </w:p>
    <w:p w14:paraId="679EE380">
      <w:pPr>
        <w:pStyle w:val="177"/>
      </w:pPr>
      <w:bookmarkStart w:id="83" w:name="_Toc456970966"/>
      <w:bookmarkStart w:id="84" w:name="_Toc221528711"/>
      <w:bookmarkStart w:id="85" w:name="_Toc221528782"/>
      <w:bookmarkStart w:id="86" w:name="_Toc221352474"/>
      <w:bookmarkStart w:id="87" w:name="_Toc221371943"/>
      <w:r>
        <w:rPr>
          <w:rFonts w:hint="eastAsia"/>
        </w:rPr>
        <w:t>3</w:t>
      </w:r>
      <w:r>
        <w:t xml:space="preserve">  </w:t>
      </w:r>
      <w:bookmarkEnd w:id="83"/>
      <w:r>
        <w:rPr>
          <w:rFonts w:hint="eastAsia"/>
        </w:rPr>
        <w:t>基本规定</w:t>
      </w:r>
      <w:bookmarkEnd w:id="84"/>
      <w:bookmarkEnd w:id="85"/>
      <w:bookmarkEnd w:id="86"/>
      <w:bookmarkEnd w:id="87"/>
    </w:p>
    <w:p w14:paraId="4C023F00">
      <w:pPr>
        <w:pStyle w:val="178"/>
        <w:rPr>
          <w:rFonts w:ascii="宋体" w:hAnsi="宋体"/>
          <w:sz w:val="24"/>
          <w:szCs w:val="24"/>
        </w:rPr>
      </w:pPr>
      <w:r>
        <w:rPr>
          <w:rFonts w:hint="eastAsia"/>
          <w:b/>
          <w:bCs/>
        </w:rPr>
        <w:t>3</w:t>
      </w:r>
      <w:r>
        <w:rPr>
          <w:b/>
          <w:bCs/>
        </w:rPr>
        <w:t>.</w:t>
      </w:r>
      <w:r>
        <w:rPr>
          <w:rFonts w:hint="eastAsia"/>
          <w:b/>
          <w:bCs/>
        </w:rPr>
        <w:t>0.1</w:t>
      </w:r>
      <w:r>
        <w:rPr>
          <w:rFonts w:hint="eastAsia"/>
        </w:rPr>
        <w:t xml:space="preserve">  本条旨在明确防船撞监测系统的适用范围。第1条以航道等级及通航条件为主要判断依据，应将船舶通行频繁或通航条件受限的桥梁构筑物纳入监测范围；第2条明确非桥梁类水上构筑物如海上风电场、水上房屋、钻井平台等在重要性或风险等级较高时同样应设置监测系统，以避免标准适用范围过窄；第3条将防船撞设施本身如防撞墩纳入监测对象，旨在保障防护设备在长期运行过程中的有效性；第4条为特殊工程预留调整空间，提升标准适应性。</w:t>
      </w:r>
    </w:p>
    <w:p w14:paraId="0D37CFCD">
      <w:pPr>
        <w:pStyle w:val="178"/>
      </w:pPr>
      <w:r>
        <w:rPr>
          <w:rFonts w:hint="eastAsia"/>
          <w:b/>
          <w:bCs/>
        </w:rPr>
        <w:t xml:space="preserve">3.0.2  </w:t>
      </w:r>
      <w:r>
        <w:rPr>
          <w:rFonts w:hint="eastAsia"/>
        </w:rPr>
        <w:t>本条目的是明确防船撞监测系统的总体设计导向，确保系统在复杂水域环境长期稳定运行：实时性强调系统对船舶运行状态及风险变化进行快速感知与响应；可靠性要求系统在恶劣环境仍能保持基本功能；冗余性要求系统在个别设备失效情况下维持系统运行；易维护性原则考虑后期的运维成本；易拓展性为后续功能升级、设备更新及数据接入预留空间。</w:t>
      </w:r>
    </w:p>
    <w:p w14:paraId="312B950F">
      <w:pPr>
        <w:pStyle w:val="178"/>
        <w:rPr>
          <w:b/>
          <w:bCs/>
        </w:rPr>
      </w:pPr>
      <w:r>
        <w:rPr>
          <w:rFonts w:hint="eastAsia"/>
          <w:b/>
          <w:bCs/>
        </w:rPr>
        <w:t xml:space="preserve">3.0.5  </w:t>
      </w:r>
      <w:r>
        <w:rPr>
          <w:rFonts w:hint="eastAsia"/>
        </w:rPr>
        <w:t>本条旨在明确防船撞监测系统应由单一监控模式向多源融合的风险感知体系转变。“全方位、多层次立体感知体系”，是指通过船舶目标感知、航道环境监测及构筑物状态监测等多类信息的融合，实现对风险形成全过程的识别与分析。实时感知用于获取船舶位置、航向、速度及环境变化信息，智能分析通过算法模型识别异常行为或潜在碰撞趋势，分级预警则根据风险等级采取不同响应方式，避免过度报警影响系统有效性。</w:t>
      </w:r>
    </w:p>
    <w:p w14:paraId="70023305">
      <w:pPr>
        <w:pStyle w:val="178"/>
      </w:pPr>
      <w:r>
        <w:rPr>
          <w:rFonts w:hint="eastAsia"/>
          <w:b/>
          <w:bCs/>
        </w:rPr>
        <w:t xml:space="preserve">3.0.9  </w:t>
      </w:r>
      <w:r>
        <w:rPr>
          <w:rFonts w:hint="eastAsia"/>
        </w:rPr>
        <w:t>本条制定目的是避免不同工程在监测内容设置上的简单复刻，不同航道在通航密度、船型结构、水文气象条件等方面差异显著，监测内容及预警方式应因地制宜、“一桥一案”，确保系统配置与实际风险水平相匹配。</w:t>
      </w:r>
    </w:p>
    <w:p w14:paraId="1F6C271A">
      <w:pPr>
        <w:pStyle w:val="178"/>
        <w:rPr>
          <w:b/>
          <w:bCs/>
        </w:rPr>
      </w:pPr>
      <w:r>
        <w:rPr>
          <w:rFonts w:hint="eastAsia"/>
          <w:b/>
          <w:bCs/>
        </w:rPr>
        <w:t xml:space="preserve">3.0.10  </w:t>
      </w:r>
      <w:r>
        <w:rPr>
          <w:rFonts w:hint="eastAsia"/>
        </w:rPr>
        <w:t>本条制定目的是解决防船撞监测系统在实际运行中可能形成的信息孤立问题。通过统一接口标准，可支持多系统协同运行，提高突发事件响应速度，提升整体水域安全管理水平。</w:t>
      </w:r>
    </w:p>
    <w:p w14:paraId="1324D3A9">
      <w:pPr>
        <w:pStyle w:val="178"/>
        <w:rPr>
          <w:rFonts w:ascii="宋体" w:hAnsi="宋体"/>
          <w:color w:val="000000"/>
          <w:szCs w:val="21"/>
        </w:rPr>
      </w:pPr>
      <w:r>
        <w:rPr>
          <w:rFonts w:hint="eastAsia"/>
          <w:b/>
          <w:bCs/>
        </w:rPr>
        <w:t xml:space="preserve">3.0.15  </w:t>
      </w:r>
      <w:r>
        <w:rPr>
          <w:rFonts w:hint="eastAsia"/>
        </w:rPr>
        <w:t>本条明确了防船撞监测系统验收的具体内容：硬件验收主要确保设备安装与性能符合设计要求；监测功能验收验证数据采集与处理的准确性；预警功能验收则重点检验系统风险识别与报警联动能力。</w:t>
      </w:r>
    </w:p>
    <w:p w14:paraId="64EB9EE4">
      <w:pPr>
        <w:pStyle w:val="177"/>
      </w:pPr>
      <w:bookmarkStart w:id="88" w:name="_Toc221352475"/>
      <w:bookmarkStart w:id="89" w:name="_Toc221371944"/>
      <w:bookmarkStart w:id="90" w:name="_Toc221528783"/>
      <w:bookmarkStart w:id="91" w:name="_Toc221528712"/>
      <w:r>
        <w:rPr>
          <w:rFonts w:hint="eastAsia"/>
        </w:rPr>
        <w:t>4</w:t>
      </w:r>
      <w:r>
        <w:t xml:space="preserve">  </w:t>
      </w:r>
      <w:r>
        <w:rPr>
          <w:rFonts w:hint="eastAsia"/>
        </w:rPr>
        <w:t>防船撞监测</w:t>
      </w:r>
      <w:bookmarkEnd w:id="88"/>
      <w:bookmarkEnd w:id="89"/>
      <w:bookmarkEnd w:id="90"/>
      <w:bookmarkEnd w:id="91"/>
    </w:p>
    <w:p w14:paraId="596B9024">
      <w:pPr>
        <w:pStyle w:val="182"/>
        <w:rPr>
          <w:bCs/>
        </w:rPr>
      </w:pPr>
      <w:bookmarkStart w:id="92" w:name="_Toc221371945"/>
      <w:bookmarkStart w:id="93" w:name="_Toc221528713"/>
      <w:bookmarkStart w:id="94" w:name="_Toc221528784"/>
      <w:bookmarkStart w:id="95" w:name="_Toc221352477"/>
      <w:r>
        <w:rPr>
          <w:rFonts w:hint="eastAsia"/>
          <w:bCs/>
        </w:rPr>
        <w:t>4.1  监测内容</w:t>
      </w:r>
      <w:bookmarkEnd w:id="92"/>
      <w:bookmarkEnd w:id="93"/>
      <w:bookmarkEnd w:id="94"/>
    </w:p>
    <w:p w14:paraId="0E858E65">
      <w:pPr>
        <w:pStyle w:val="178"/>
        <w:rPr>
          <w:rFonts w:ascii="宋体" w:hAnsi="宋体"/>
          <w:sz w:val="24"/>
          <w:szCs w:val="24"/>
        </w:rPr>
      </w:pPr>
      <w:r>
        <w:rPr>
          <w:rFonts w:hint="eastAsia"/>
          <w:b/>
          <w:bCs/>
          <w:lang w:val="zh-CN"/>
        </w:rPr>
        <w:t>4.1.1</w:t>
      </w:r>
      <w:r>
        <w:rPr>
          <w:rFonts w:hint="eastAsia"/>
          <w:lang w:val="zh-CN"/>
        </w:rPr>
        <w:t xml:space="preserve">  </w:t>
      </w:r>
      <w:r>
        <w:rPr>
          <w:rFonts w:hint="eastAsia"/>
        </w:rPr>
        <w:t>本条制定目的是明确防船撞监测系统的基础监测要素，确保系统能够识别船舶与水上构筑物之间形成碰撞风险的核心因素。船舶撞击风险通常由船舶运动状态与外部环境共同作用形成，因此监测内容应覆盖船舶动态行为及航道环境变化两个方面。</w:t>
      </w:r>
    </w:p>
    <w:p w14:paraId="34B47FF3">
      <w:pPr>
        <w:pStyle w:val="178"/>
      </w:pPr>
      <w:r>
        <w:rPr>
          <w:rFonts w:hint="eastAsia"/>
          <w:b/>
          <w:bCs/>
          <w:lang w:val="zh-CN"/>
        </w:rPr>
        <w:t>4.1.</w:t>
      </w:r>
      <w:r>
        <w:rPr>
          <w:rFonts w:hint="eastAsia"/>
          <w:b/>
          <w:bCs/>
        </w:rPr>
        <w:t>2</w:t>
      </w:r>
      <w:r>
        <w:rPr>
          <w:rFonts w:hint="eastAsia"/>
          <w:lang w:val="zh-CN"/>
        </w:rPr>
        <w:t xml:space="preserve">  </w:t>
      </w:r>
      <w:r>
        <w:rPr>
          <w:rFonts w:hint="eastAsia"/>
        </w:rPr>
        <w:t>本条制定目的是在满足基础监测要求的前提下，提升系统对复杂航行环境的识别能力。不同航道环境及工程类型对监测精度和风险识别深度要求不同，因此本条采用“宜”的形式提出扩展监测内容。</w:t>
      </w:r>
    </w:p>
    <w:p w14:paraId="2D04EF38">
      <w:pPr>
        <w:pStyle w:val="178"/>
      </w:pPr>
      <w:r>
        <w:rPr>
          <w:rFonts w:hint="eastAsia"/>
          <w:b/>
          <w:bCs/>
        </w:rPr>
        <w:t>4.1.3~4.1.6</w:t>
      </w:r>
      <w:r>
        <w:rPr>
          <w:rFonts w:hint="eastAsia"/>
        </w:rPr>
        <w:t xml:space="preserve">  这些条款规定了水上构筑物结构形式为桥梁时，防船撞监测系统的特殊监测内容。</w:t>
      </w:r>
    </w:p>
    <w:p w14:paraId="16196567">
      <w:pPr>
        <w:pStyle w:val="178"/>
      </w:pPr>
      <w:r>
        <w:rPr>
          <w:rFonts w:hint="eastAsia"/>
          <w:b/>
          <w:bCs/>
        </w:rPr>
        <w:t>4.1.7~4.1.8</w:t>
      </w:r>
      <w:r>
        <w:rPr>
          <w:rFonts w:hint="eastAsia"/>
        </w:rPr>
        <w:t xml:space="preserve">  这些条款规定了水上构筑物结构形式为水上房屋时，防船撞监测系统的特殊监测内容。</w:t>
      </w:r>
    </w:p>
    <w:p w14:paraId="74E3C69E">
      <w:pPr>
        <w:pStyle w:val="178"/>
        <w:rPr>
          <w:lang w:val="zh-CN"/>
        </w:rPr>
      </w:pPr>
      <w:r>
        <w:rPr>
          <w:rFonts w:hint="eastAsia"/>
          <w:b/>
          <w:bCs/>
        </w:rPr>
        <w:t>4.1.9~4.1.10</w:t>
      </w:r>
      <w:r>
        <w:rPr>
          <w:rFonts w:hint="eastAsia"/>
        </w:rPr>
        <w:t xml:space="preserve">  这些条款规定了水上构筑物结构形式为钻井平台时，防船撞监测系统的特殊监测内容。</w:t>
      </w:r>
    </w:p>
    <w:p w14:paraId="3CD99E8E">
      <w:pPr>
        <w:pStyle w:val="178"/>
        <w:rPr>
          <w:lang w:val="zh-CN"/>
        </w:rPr>
      </w:pPr>
      <w:r>
        <w:rPr>
          <w:rFonts w:hint="eastAsia"/>
          <w:b/>
          <w:bCs/>
        </w:rPr>
        <w:t>4.1.11~4.1.13</w:t>
      </w:r>
      <w:r>
        <w:rPr>
          <w:rFonts w:hint="eastAsia"/>
        </w:rPr>
        <w:t xml:space="preserve">  这些条款规定了水上构筑物结构形式为海上风电场时，防船撞监测系统的特殊监测内容。</w:t>
      </w:r>
    </w:p>
    <w:p w14:paraId="089C7290">
      <w:pPr>
        <w:pStyle w:val="178"/>
        <w:rPr>
          <w:lang w:val="zh-CN"/>
        </w:rPr>
      </w:pPr>
      <w:r>
        <w:rPr>
          <w:rFonts w:hint="eastAsia"/>
          <w:b/>
          <w:bCs/>
          <w:lang w:val="zh-CN"/>
        </w:rPr>
        <w:t>4.1.14</w:t>
      </w:r>
      <w:r>
        <w:rPr>
          <w:rFonts w:hint="eastAsia"/>
          <w:lang w:val="zh-CN"/>
        </w:rPr>
        <w:t xml:space="preserve">  本条规定了</w:t>
      </w:r>
      <w:r>
        <w:rPr>
          <w:rFonts w:hint="eastAsia"/>
        </w:rPr>
        <w:t>水上构筑物结构形式为码头时，防船撞监测系统的特殊监测内容。</w:t>
      </w:r>
    </w:p>
    <w:p w14:paraId="0B9D5D28">
      <w:pPr>
        <w:pStyle w:val="178"/>
      </w:pPr>
      <w:r>
        <w:rPr>
          <w:rFonts w:hint="eastAsia"/>
          <w:b/>
          <w:bCs/>
          <w:lang w:val="zh-CN"/>
        </w:rPr>
        <w:t>4.1.1</w:t>
      </w:r>
      <w:r>
        <w:rPr>
          <w:rFonts w:hint="eastAsia"/>
          <w:b/>
          <w:bCs/>
        </w:rPr>
        <w:t>5</w:t>
      </w:r>
      <w:r>
        <w:rPr>
          <w:rFonts w:hint="eastAsia"/>
          <w:lang w:val="zh-CN"/>
        </w:rPr>
        <w:t xml:space="preserve">  </w:t>
      </w:r>
      <w:r>
        <w:rPr>
          <w:rFonts w:hint="eastAsia"/>
        </w:rPr>
        <w:t>本条制定的目的是通过对防船撞设施运行状态的监测，确保其在长期运行过程中持续保持防护能力。防船撞设施在发生船撞或长期受环境作用后，其结构性能可能发生变化，通过监测相关状态参数，可为撞后评估及后续维护提供依据。</w:t>
      </w:r>
    </w:p>
    <w:p w14:paraId="2F0B6CC6">
      <w:pPr>
        <w:pStyle w:val="182"/>
        <w:rPr>
          <w:bCs/>
          <w:lang w:val="en-US"/>
        </w:rPr>
      </w:pPr>
      <w:bookmarkStart w:id="96" w:name="_Toc221528714"/>
      <w:bookmarkStart w:id="97" w:name="_Toc221371946"/>
      <w:bookmarkStart w:id="98" w:name="_Toc221528785"/>
      <w:r>
        <w:rPr>
          <w:rFonts w:hint="eastAsia"/>
          <w:bCs/>
        </w:rPr>
        <w:t>4</w:t>
      </w:r>
      <w:r>
        <w:rPr>
          <w:rFonts w:hint="eastAsia"/>
          <w:bCs/>
          <w:lang w:val="en-US"/>
        </w:rPr>
        <w:t>.2</w:t>
      </w:r>
      <w:r>
        <w:rPr>
          <w:rFonts w:hint="eastAsia"/>
          <w:bCs/>
        </w:rPr>
        <w:t xml:space="preserve">  监测</w:t>
      </w:r>
      <w:r>
        <w:rPr>
          <w:rFonts w:hint="eastAsia"/>
          <w:bCs/>
          <w:lang w:val="en-US"/>
        </w:rPr>
        <w:t>设备</w:t>
      </w:r>
      <w:bookmarkEnd w:id="96"/>
      <w:bookmarkEnd w:id="97"/>
      <w:bookmarkEnd w:id="98"/>
    </w:p>
    <w:p w14:paraId="6458A5F8">
      <w:pPr>
        <w:pStyle w:val="178"/>
        <w:rPr>
          <w:rFonts w:cs="Times New Roman"/>
          <w:szCs w:val="24"/>
        </w:rPr>
      </w:pPr>
      <w:r>
        <w:rPr>
          <w:rFonts w:hint="eastAsia"/>
          <w:b/>
          <w:bCs/>
          <w:lang w:val="zh-CN"/>
        </w:rPr>
        <w:t>4.</w:t>
      </w:r>
      <w:r>
        <w:rPr>
          <w:rFonts w:hint="eastAsia"/>
          <w:b/>
          <w:bCs/>
        </w:rPr>
        <w:t>2</w:t>
      </w:r>
      <w:r>
        <w:rPr>
          <w:rFonts w:hint="eastAsia"/>
          <w:b/>
          <w:bCs/>
          <w:lang w:val="zh-CN"/>
        </w:rPr>
        <w:t>.</w:t>
      </w:r>
      <w:r>
        <w:rPr>
          <w:rFonts w:hint="eastAsia"/>
          <w:b/>
          <w:bCs/>
        </w:rPr>
        <w:t>2</w:t>
      </w:r>
      <w:r>
        <w:rPr>
          <w:rFonts w:hint="eastAsia"/>
          <w:lang w:val="zh-CN"/>
        </w:rPr>
        <w:t xml:space="preserve">  </w:t>
      </w:r>
      <w:r>
        <w:rPr>
          <w:rFonts w:hint="eastAsia"/>
        </w:rPr>
        <w:t>本条制定目的是提高防船撞监测的可靠性与冗余性。</w:t>
      </w:r>
      <w:r>
        <w:rPr>
          <w:rFonts w:hint="eastAsia" w:cs="Times New Roman"/>
          <w:szCs w:val="24"/>
        </w:rPr>
        <w:t>桥区水域通航条件复杂，单一监测手段易受到限制，宜通过AIS、雷达、高清摄像机、激光等多源传感数据互补，提高船舶目标识别、定位和跟踪的准确性与可靠性。</w:t>
      </w:r>
    </w:p>
    <w:p w14:paraId="37E40438">
      <w:pPr>
        <w:pStyle w:val="178"/>
        <w:rPr>
          <w:lang w:val="zh-CN"/>
        </w:rPr>
      </w:pPr>
      <w:r>
        <w:rPr>
          <w:rFonts w:hint="eastAsia"/>
          <w:b/>
          <w:bCs/>
          <w:lang w:val="zh-CN"/>
        </w:rPr>
        <w:t>4.</w:t>
      </w:r>
      <w:r>
        <w:rPr>
          <w:rFonts w:hint="eastAsia"/>
          <w:b/>
          <w:bCs/>
        </w:rPr>
        <w:t>2</w:t>
      </w:r>
      <w:r>
        <w:rPr>
          <w:rFonts w:hint="eastAsia"/>
          <w:b/>
          <w:bCs/>
          <w:lang w:val="zh-CN"/>
        </w:rPr>
        <w:t>.</w:t>
      </w:r>
      <w:r>
        <w:rPr>
          <w:rFonts w:hint="eastAsia"/>
          <w:b/>
          <w:bCs/>
        </w:rPr>
        <w:t>4</w:t>
      </w:r>
      <w:r>
        <w:rPr>
          <w:rFonts w:hint="eastAsia"/>
          <w:lang w:val="zh-CN"/>
        </w:rPr>
        <w:t xml:space="preserve">  </w:t>
      </w:r>
      <w:r>
        <w:rPr>
          <w:rFonts w:hint="eastAsia"/>
        </w:rPr>
        <w:t>本条明确了雷达设备的基本性能要求。监测距离不小于1km，可满足船舶进入桥区前的提前感知与预警需求，为风险处置预留必要时间；对速度及方位精度的规定，旨在保证船舶航行状态识别及航迹分析结果的可靠性，为风险判断和预警提供有效数据支撑。</w:t>
      </w:r>
    </w:p>
    <w:p w14:paraId="4182AC1D">
      <w:pPr>
        <w:pStyle w:val="178"/>
      </w:pPr>
      <w:r>
        <w:rPr>
          <w:rFonts w:hint="eastAsia"/>
          <w:b/>
          <w:bCs/>
          <w:lang w:val="zh-CN"/>
        </w:rPr>
        <w:t>4.</w:t>
      </w:r>
      <w:r>
        <w:rPr>
          <w:rFonts w:hint="eastAsia"/>
          <w:b/>
          <w:bCs/>
        </w:rPr>
        <w:t>2</w:t>
      </w:r>
      <w:r>
        <w:rPr>
          <w:rFonts w:hint="eastAsia"/>
          <w:b/>
          <w:bCs/>
          <w:lang w:val="zh-CN"/>
        </w:rPr>
        <w:t>.</w:t>
      </w:r>
      <w:r>
        <w:rPr>
          <w:rFonts w:hint="eastAsia"/>
          <w:b/>
          <w:bCs/>
        </w:rPr>
        <w:t>5</w:t>
      </w:r>
      <w:r>
        <w:rPr>
          <w:rFonts w:hint="eastAsia"/>
          <w:b/>
          <w:bCs/>
          <w:lang w:val="zh-CN"/>
        </w:rPr>
        <w:t xml:space="preserve">  </w:t>
      </w:r>
      <w:r>
        <w:rPr>
          <w:rFonts w:hint="eastAsia"/>
        </w:rPr>
        <w:t>本条结合桥梁防船撞视频监测的实际应用场景，对视频监测设备类型及主要性能指标提出要求。固定式摄像机主要满足目标识别及图像分析需求，云台摄像机用于实现重点区域的灵活观测与跟踪，为保证复杂环境条件下监测画面的清晰性与连续性，对设备的像素、帧率、低照度性能及透雾功能提出相应要求。</w:t>
      </w:r>
    </w:p>
    <w:p w14:paraId="4CCE4A95">
      <w:pPr>
        <w:pStyle w:val="178"/>
        <w:rPr>
          <w:lang w:val="zh-CN"/>
        </w:rPr>
      </w:pPr>
      <w:r>
        <w:rPr>
          <w:rFonts w:hint="eastAsia"/>
          <w:b/>
          <w:bCs/>
        </w:rPr>
        <w:t>4.2.10~4.2.11</w:t>
      </w:r>
      <w:r>
        <w:rPr>
          <w:rFonts w:hint="eastAsia"/>
        </w:rPr>
        <w:t xml:space="preserve"> 这些条款规定了水上构筑物为防船撞设施时，对监测设备的特殊要求。</w:t>
      </w:r>
    </w:p>
    <w:p w14:paraId="4D11B139">
      <w:pPr>
        <w:pStyle w:val="182"/>
        <w:rPr>
          <w:bCs/>
          <w:lang w:val="en-US"/>
        </w:rPr>
      </w:pPr>
      <w:bookmarkStart w:id="99" w:name="_Toc221528715"/>
      <w:bookmarkStart w:id="100" w:name="_Toc221528786"/>
      <w:bookmarkStart w:id="101" w:name="_Toc221371947"/>
      <w:r>
        <w:rPr>
          <w:rFonts w:hint="eastAsia"/>
          <w:bCs/>
        </w:rPr>
        <w:t>4</w:t>
      </w:r>
      <w:r>
        <w:rPr>
          <w:rFonts w:hint="eastAsia"/>
          <w:bCs/>
          <w:lang w:val="en-US"/>
        </w:rPr>
        <w:t>.3</w:t>
      </w:r>
      <w:r>
        <w:rPr>
          <w:rFonts w:hint="eastAsia"/>
          <w:bCs/>
        </w:rPr>
        <w:t xml:space="preserve">  </w:t>
      </w:r>
      <w:r>
        <w:rPr>
          <w:rFonts w:hint="eastAsia"/>
          <w:bCs/>
          <w:lang w:val="en-US"/>
        </w:rPr>
        <w:t>测点布置</w:t>
      </w:r>
      <w:bookmarkEnd w:id="99"/>
      <w:bookmarkEnd w:id="100"/>
      <w:bookmarkEnd w:id="101"/>
    </w:p>
    <w:p w14:paraId="3AC8A5A2">
      <w:pPr>
        <w:pStyle w:val="178"/>
        <w:rPr>
          <w:lang w:val="zh-CN"/>
        </w:rPr>
      </w:pPr>
      <w:r>
        <w:rPr>
          <w:rFonts w:hint="eastAsia"/>
          <w:b/>
          <w:bCs/>
          <w:lang w:val="zh-CN"/>
        </w:rPr>
        <w:t>4.</w:t>
      </w:r>
      <w:r>
        <w:rPr>
          <w:rFonts w:hint="eastAsia"/>
          <w:b/>
          <w:bCs/>
        </w:rPr>
        <w:t>3</w:t>
      </w:r>
      <w:r>
        <w:rPr>
          <w:rFonts w:hint="eastAsia"/>
          <w:b/>
          <w:bCs/>
          <w:lang w:val="zh-CN"/>
        </w:rPr>
        <w:t>.</w:t>
      </w:r>
      <w:r>
        <w:rPr>
          <w:rFonts w:hint="eastAsia"/>
          <w:b/>
          <w:bCs/>
        </w:rPr>
        <w:t>2</w:t>
      </w:r>
      <w:r>
        <w:rPr>
          <w:rFonts w:hint="eastAsia"/>
          <w:lang w:val="zh-CN"/>
        </w:rPr>
        <w:t xml:space="preserve">  </w:t>
      </w:r>
      <w:r>
        <w:rPr>
          <w:rFonts w:hint="eastAsia"/>
        </w:rPr>
        <w:t>本条核心是提高防船撞监测系统的长期适应能力。通过预留设备接口和安装位置，使监测系统具备后期扩展与升级条件，有利于减少重复建设，提高系统的可持续运行能力。</w:t>
      </w:r>
    </w:p>
    <w:p w14:paraId="3E870E18">
      <w:pPr>
        <w:pStyle w:val="178"/>
        <w:rPr>
          <w:rFonts w:ascii="宋体" w:hAnsi="宋体"/>
          <w:sz w:val="24"/>
          <w:szCs w:val="24"/>
        </w:rPr>
      </w:pPr>
      <w:r>
        <w:rPr>
          <w:rFonts w:hint="eastAsia"/>
          <w:b/>
          <w:bCs/>
          <w:lang w:val="zh-CN"/>
        </w:rPr>
        <w:t>4.</w:t>
      </w:r>
      <w:r>
        <w:rPr>
          <w:rFonts w:hint="eastAsia"/>
          <w:b/>
          <w:bCs/>
        </w:rPr>
        <w:t>3</w:t>
      </w:r>
      <w:r>
        <w:rPr>
          <w:rFonts w:hint="eastAsia"/>
          <w:b/>
          <w:bCs/>
          <w:lang w:val="zh-CN"/>
        </w:rPr>
        <w:t>.</w:t>
      </w:r>
      <w:r>
        <w:rPr>
          <w:rFonts w:hint="eastAsia"/>
          <w:b/>
          <w:bCs/>
        </w:rPr>
        <w:t>3</w:t>
      </w:r>
      <w:r>
        <w:rPr>
          <w:rFonts w:hint="eastAsia"/>
          <w:lang w:val="zh-CN"/>
        </w:rPr>
        <w:t xml:space="preserve">  </w:t>
      </w:r>
      <w:r>
        <w:rPr>
          <w:rFonts w:hint="eastAsia"/>
        </w:rPr>
        <w:t>本条强调了监测系统可靠性与稳定性的重要性。桥区及水上构筑物周边环境复杂，如仅采用单一监测方式，易受遮挡或环境因素影响而产生监测盲区或目标丢失情况。通过形成交叉覆盖及多源监测，可提高目标识别与跟踪的连续性。</w:t>
      </w:r>
    </w:p>
    <w:p w14:paraId="5E348B2E">
      <w:pPr>
        <w:pStyle w:val="178"/>
      </w:pPr>
      <w:r>
        <w:rPr>
          <w:rFonts w:hint="eastAsia"/>
          <w:b/>
          <w:bCs/>
          <w:lang w:val="zh-CN"/>
        </w:rPr>
        <w:t>4.</w:t>
      </w:r>
      <w:r>
        <w:rPr>
          <w:rFonts w:hint="eastAsia"/>
          <w:b/>
          <w:bCs/>
        </w:rPr>
        <w:t>3</w:t>
      </w:r>
      <w:r>
        <w:rPr>
          <w:rFonts w:hint="eastAsia"/>
          <w:b/>
          <w:bCs/>
          <w:lang w:val="zh-CN"/>
        </w:rPr>
        <w:t>.</w:t>
      </w:r>
      <w:r>
        <w:rPr>
          <w:rFonts w:hint="eastAsia"/>
          <w:b/>
          <w:bCs/>
        </w:rPr>
        <w:t>6</w:t>
      </w:r>
      <w:r>
        <w:rPr>
          <w:rFonts w:hint="eastAsia"/>
          <w:lang w:val="zh-CN"/>
        </w:rPr>
        <w:t xml:space="preserve">  </w:t>
      </w:r>
      <w:r>
        <w:rPr>
          <w:rFonts w:hint="eastAsia"/>
        </w:rPr>
        <w:t>本条明确了在满足监测需求前提下设备布设的合理性与经济性要求。例如，水上构筑物为桥梁时，桥区环境空间有限，如大量采用独立立杆安装方式，可能增加施工风险，对通航安全及景观环境产生影响，同时提高后期维护难度。优先利用既有结构进行集约化安装，有利于降低工程实施及运维成本。</w:t>
      </w:r>
    </w:p>
    <w:p w14:paraId="7AB92D76">
      <w:pPr>
        <w:pStyle w:val="178"/>
      </w:pPr>
      <w:r>
        <w:rPr>
          <w:rFonts w:hint="eastAsia"/>
          <w:b/>
          <w:bCs/>
        </w:rPr>
        <w:t>4.3.7~4.3.8</w:t>
      </w:r>
      <w:r>
        <w:rPr>
          <w:rFonts w:hint="eastAsia"/>
        </w:rPr>
        <w:t xml:space="preserve">  这些条款规定了水上构筑物为桥梁时，监测测点的布设。</w:t>
      </w:r>
    </w:p>
    <w:p w14:paraId="30752158">
      <w:pPr>
        <w:pStyle w:val="178"/>
      </w:pPr>
      <w:r>
        <w:rPr>
          <w:rFonts w:hint="eastAsia"/>
          <w:b/>
          <w:bCs/>
        </w:rPr>
        <w:t>4.3.9~4.3.12</w:t>
      </w:r>
      <w:r>
        <w:rPr>
          <w:rFonts w:hint="eastAsia"/>
        </w:rPr>
        <w:t xml:space="preserve">  这些条款规定了水上构筑物为水上房屋、钻井平台、海上风电场及码头时，监测测点的布设。</w:t>
      </w:r>
    </w:p>
    <w:p w14:paraId="20CC4319">
      <w:pPr>
        <w:pStyle w:val="178"/>
        <w:rPr>
          <w:lang w:val="zh-CN"/>
        </w:rPr>
      </w:pPr>
      <w:r>
        <w:rPr>
          <w:rFonts w:hint="eastAsia"/>
          <w:b/>
          <w:bCs/>
          <w:lang w:val="zh-CN"/>
        </w:rPr>
        <w:t>4.</w:t>
      </w:r>
      <w:r>
        <w:rPr>
          <w:rFonts w:hint="eastAsia"/>
          <w:b/>
          <w:bCs/>
        </w:rPr>
        <w:t>3</w:t>
      </w:r>
      <w:r>
        <w:rPr>
          <w:rFonts w:hint="eastAsia"/>
          <w:b/>
          <w:bCs/>
          <w:lang w:val="zh-CN"/>
        </w:rPr>
        <w:t>.</w:t>
      </w:r>
      <w:r>
        <w:rPr>
          <w:rFonts w:hint="eastAsia"/>
          <w:b/>
          <w:bCs/>
        </w:rPr>
        <w:t>13</w:t>
      </w:r>
      <w:r>
        <w:rPr>
          <w:rFonts w:hint="eastAsia"/>
          <w:lang w:val="zh-CN"/>
        </w:rPr>
        <w:t xml:space="preserve">  </w:t>
      </w:r>
      <w:r>
        <w:rPr>
          <w:rFonts w:hint="eastAsia"/>
        </w:rPr>
        <w:t>本条强调了监测设备布设不得影响防船撞设施原有防护功能。防船撞设施通常通过变形、吸能或位移方式消减撞击能量，如设备安装位置或方式不当，可能限制结构变形或改变受力状态，从而降低防护效果。因此监测设备布设应在满足监测功能的同时，确保防护功能不受影响。</w:t>
      </w:r>
    </w:p>
    <w:p w14:paraId="66C0A0B1">
      <w:pPr>
        <w:pStyle w:val="182"/>
      </w:pPr>
      <w:bookmarkStart w:id="102" w:name="_Toc221528716"/>
      <w:bookmarkStart w:id="103" w:name="_Toc221528787"/>
      <w:bookmarkStart w:id="104" w:name="_Toc221371948"/>
      <w:r>
        <w:rPr>
          <w:rFonts w:hint="eastAsia"/>
          <w:bCs/>
        </w:rPr>
        <w:t>4.4  监测系统</w:t>
      </w:r>
      <w:bookmarkEnd w:id="95"/>
      <w:bookmarkEnd w:id="102"/>
      <w:bookmarkEnd w:id="103"/>
      <w:bookmarkEnd w:id="104"/>
    </w:p>
    <w:p w14:paraId="06E198CC">
      <w:pPr>
        <w:pStyle w:val="178"/>
        <w:rPr>
          <w:lang w:val="zh-CN"/>
        </w:rPr>
      </w:pPr>
      <w:r>
        <w:rPr>
          <w:rFonts w:hint="eastAsia"/>
          <w:b/>
          <w:bCs/>
          <w:lang w:val="zh-CN"/>
        </w:rPr>
        <w:t>4.4.1</w:t>
      </w:r>
      <w:r>
        <w:rPr>
          <w:rFonts w:hint="eastAsia"/>
          <w:lang w:val="zh-CN"/>
        </w:rPr>
        <w:t xml:space="preserve">  本条规定了监测系统的整体性能要求。水上构筑物防船撞监测涉及多类传感器和复杂的网络环境，系统的兼容性决定了不同厂商设备能否协同工作；环境适应性（特别是抗盐雾、防腐蚀、防雷击）是海洋及内河水域设备长期稳定运行的基础。</w:t>
      </w:r>
    </w:p>
    <w:p w14:paraId="17AF6C34">
      <w:pPr>
        <w:pStyle w:val="178"/>
        <w:rPr>
          <w:lang w:val="zh-CN"/>
        </w:rPr>
      </w:pPr>
      <w:r>
        <w:rPr>
          <w:rFonts w:hint="eastAsia"/>
          <w:b/>
          <w:bCs/>
          <w:lang w:val="zh-CN"/>
        </w:rPr>
        <w:t xml:space="preserve">4.4.2 </w:t>
      </w:r>
      <w:r>
        <w:rPr>
          <w:rFonts w:hint="eastAsia"/>
          <w:lang w:val="zh-CN"/>
        </w:rPr>
        <w:t xml:space="preserve"> 本条对系统集成设计提出了具体要求：硬件集成应充分考虑接口的通用性，避免因设备更新换代导致系统瘫痪。软件集成采用统一平台是实现数据融合的关键。模块化设计是为了在后续增加新功能（如引入新的AI算法）时，不必重构整个系统。时间同步是多源数据融合的基础。雷达、AIS、视频等数据必须在统一的时间基准下才能进行有效的轨迹关联和融合分析，否则会导致预警判断错乱。</w:t>
      </w:r>
    </w:p>
    <w:p w14:paraId="3FD6D32B">
      <w:pPr>
        <w:pStyle w:val="178"/>
        <w:rPr>
          <w:lang w:val="zh-CN"/>
        </w:rPr>
      </w:pPr>
      <w:r>
        <w:rPr>
          <w:rFonts w:hint="eastAsia"/>
          <w:b/>
          <w:bCs/>
          <w:lang w:val="zh-CN"/>
        </w:rPr>
        <w:t>4.4.3</w:t>
      </w:r>
      <w:r>
        <w:rPr>
          <w:rFonts w:hint="eastAsia"/>
          <w:lang w:val="zh-CN"/>
        </w:rPr>
        <w:t xml:space="preserve">  本条强调了可视化设计的人机交互体验。防船撞系统的使用者往往是桥梁或构筑物的管理养护人员，而非专业的IT技术人员。因此，界面应直观、易懂，能够通过“一张图”形式清晰展示船舶位置、风险等级和报警信息，降低操作门槛，提高应急响应效率。</w:t>
      </w:r>
    </w:p>
    <w:p w14:paraId="575E4ED9">
      <w:pPr>
        <w:pStyle w:val="178"/>
        <w:rPr>
          <w:lang w:val="zh-CN"/>
        </w:rPr>
      </w:pPr>
      <w:r>
        <w:rPr>
          <w:rFonts w:hint="eastAsia"/>
          <w:b/>
          <w:bCs/>
          <w:lang w:val="zh-CN"/>
        </w:rPr>
        <w:t>4.4.4</w:t>
      </w:r>
      <w:r>
        <w:rPr>
          <w:rFonts w:hint="eastAsia"/>
          <w:lang w:val="zh-CN"/>
        </w:rPr>
        <w:t xml:space="preserve">  本条重点强调网络安全。防船撞系统作为关键基础设施的一部分，其数据涉及航道安全和结构安全。</w:t>
      </w:r>
    </w:p>
    <w:p w14:paraId="5CD1B9F6">
      <w:pPr>
        <w:pStyle w:val="177"/>
      </w:pPr>
      <w:bookmarkStart w:id="105" w:name="_Toc221352478"/>
      <w:bookmarkStart w:id="106" w:name="_Toc221528717"/>
      <w:bookmarkStart w:id="107" w:name="_Toc221371949"/>
      <w:bookmarkStart w:id="108" w:name="_Toc221528788"/>
      <w:r>
        <w:rPr>
          <w:rFonts w:hint="eastAsia"/>
        </w:rPr>
        <w:t>5</w:t>
      </w:r>
      <w:r>
        <w:t xml:space="preserve">  </w:t>
      </w:r>
      <w:r>
        <w:rPr>
          <w:rFonts w:hint="eastAsia"/>
        </w:rPr>
        <w:t>监测数据管理</w:t>
      </w:r>
      <w:bookmarkEnd w:id="105"/>
      <w:bookmarkEnd w:id="106"/>
      <w:bookmarkEnd w:id="107"/>
      <w:bookmarkEnd w:id="108"/>
    </w:p>
    <w:p w14:paraId="3838A87B">
      <w:pPr>
        <w:pStyle w:val="182"/>
      </w:pPr>
      <w:bookmarkStart w:id="109" w:name="_Toc221528718"/>
      <w:bookmarkStart w:id="110" w:name="_Toc221528789"/>
      <w:bookmarkStart w:id="111" w:name="_Toc221371950"/>
      <w:bookmarkStart w:id="112" w:name="_Toc221352480"/>
      <w:r>
        <w:rPr>
          <w:rFonts w:hint="eastAsia"/>
        </w:rPr>
        <w:t>5.1  一般规定</w:t>
      </w:r>
      <w:bookmarkEnd w:id="109"/>
      <w:bookmarkEnd w:id="110"/>
      <w:bookmarkEnd w:id="111"/>
    </w:p>
    <w:p w14:paraId="70A44821">
      <w:pPr>
        <w:pStyle w:val="178"/>
      </w:pPr>
      <w:r>
        <w:rPr>
          <w:rFonts w:hint="eastAsia"/>
          <w:b/>
          <w:bCs/>
        </w:rPr>
        <w:t>5.1.1</w:t>
      </w:r>
      <w:r>
        <w:rPr>
          <w:rFonts w:hint="eastAsia"/>
        </w:rPr>
        <w:t xml:space="preserve">  本条制定目的是明确监测数据在防船撞监测系统中的基础性作用，各类监测设备产生的数据需通过统一管理流程进行采集、编码、传输、处理、分析、存储、交互及安全管理，构建完整的数据管理链条。</w:t>
      </w:r>
    </w:p>
    <w:p w14:paraId="697004D5">
      <w:pPr>
        <w:pStyle w:val="178"/>
      </w:pPr>
      <w:r>
        <w:rPr>
          <w:rFonts w:hint="eastAsia"/>
          <w:b/>
          <w:bCs/>
        </w:rPr>
        <w:t>5.1.2</w:t>
      </w:r>
      <w:r>
        <w:rPr>
          <w:rFonts w:hint="eastAsia"/>
        </w:rPr>
        <w:t xml:space="preserve">  本条制定目的是保障监测数据在全过程应用中的可靠性与可用性。防船撞监测涉及实时预警及事后追溯，如数据存在缺失、延迟或不一致情况，将直接影响风险判断及事件分析结果。</w:t>
      </w:r>
    </w:p>
    <w:p w14:paraId="0976607C">
      <w:pPr>
        <w:pStyle w:val="182"/>
        <w:rPr>
          <w:lang w:val="en-US"/>
        </w:rPr>
      </w:pPr>
      <w:bookmarkStart w:id="113" w:name="_Toc221528790"/>
      <w:bookmarkStart w:id="114" w:name="_Toc221528719"/>
      <w:bookmarkStart w:id="115" w:name="_Toc221371951"/>
      <w:r>
        <w:rPr>
          <w:rFonts w:hint="eastAsia"/>
        </w:rPr>
        <w:t>5.</w:t>
      </w:r>
      <w:r>
        <w:rPr>
          <w:rFonts w:hint="eastAsia"/>
          <w:lang w:val="en-US"/>
        </w:rPr>
        <w:t>2</w:t>
      </w:r>
      <w:r>
        <w:rPr>
          <w:rFonts w:hint="eastAsia"/>
        </w:rPr>
        <w:t xml:space="preserve">  </w:t>
      </w:r>
      <w:r>
        <w:rPr>
          <w:rFonts w:hint="eastAsia"/>
          <w:lang w:val="en-US"/>
        </w:rPr>
        <w:t>数据采集</w:t>
      </w:r>
      <w:bookmarkEnd w:id="113"/>
      <w:bookmarkEnd w:id="114"/>
      <w:bookmarkEnd w:id="115"/>
    </w:p>
    <w:p w14:paraId="1D602740">
      <w:pPr>
        <w:pStyle w:val="178"/>
        <w:rPr>
          <w:rFonts w:ascii="宋体" w:hAnsi="宋体"/>
          <w:sz w:val="24"/>
          <w:szCs w:val="24"/>
        </w:rPr>
      </w:pPr>
      <w:r>
        <w:rPr>
          <w:rFonts w:hint="eastAsia"/>
          <w:b/>
          <w:bCs/>
        </w:rPr>
        <w:t>5.2.1</w:t>
      </w:r>
      <w:r>
        <w:rPr>
          <w:rFonts w:hint="eastAsia"/>
        </w:rPr>
        <w:t xml:space="preserve">  本条明确了监测设备与采集设备之间的数据关系。通过建立清晰的数据拓扑结构，可保证监测系统数据来源明确、数据链路清晰，便于系统运行维护及故障定位，同时为后续数据管理与系统扩展提供基础条件。</w:t>
      </w:r>
    </w:p>
    <w:p w14:paraId="0CCE908E">
      <w:pPr>
        <w:pStyle w:val="178"/>
      </w:pPr>
      <w:r>
        <w:rPr>
          <w:rFonts w:hint="eastAsia"/>
          <w:b/>
          <w:bCs/>
        </w:rPr>
        <w:t xml:space="preserve">5.2.2  </w:t>
      </w:r>
      <w:r>
        <w:rPr>
          <w:rFonts w:hint="eastAsia"/>
        </w:rPr>
        <w:t>本条核心是数据采集方式应兼顾系统实时性与数据资源利用效率。定时采集适用于连续状态监测，可反映设备运行及环境变化趋势；触发式采集适用于撞击或异常事件发生时的数据强化记录，可减少无效数据存储压力。采用两种方式结合的混合采集模式，有利于在保证关键事件完整记录的同时，提高系统整体运行效率。</w:t>
      </w:r>
    </w:p>
    <w:p w14:paraId="6B8C43F1">
      <w:pPr>
        <w:pStyle w:val="178"/>
      </w:pPr>
      <w:r>
        <w:rPr>
          <w:rFonts w:hint="eastAsia"/>
          <w:b/>
          <w:bCs/>
        </w:rPr>
        <w:t>5.2.3</w:t>
      </w:r>
      <w:r>
        <w:rPr>
          <w:rFonts w:hint="eastAsia"/>
        </w:rPr>
        <w:t xml:space="preserve">  本条强调了监测数据采样频率的基本要求。采样频率不足可能导致关键变化信息丢失，影响船舶行为识别及结构响应分析结果。视频采样频率不低于25 FPS，主要用于保证船舶运动过程及撞击事件记录的连续性，满足目标识别及事件回溯需求。</w:t>
      </w:r>
    </w:p>
    <w:p w14:paraId="7F1762C4">
      <w:pPr>
        <w:pStyle w:val="178"/>
      </w:pPr>
      <w:r>
        <w:rPr>
          <w:rFonts w:hint="eastAsia"/>
          <w:b/>
          <w:bCs/>
        </w:rPr>
        <w:t>5.2.4</w:t>
      </w:r>
      <w:r>
        <w:rPr>
          <w:rFonts w:hint="eastAsia"/>
        </w:rPr>
        <w:t xml:space="preserve">  本条制定目的是提高多源数据综合分析的准确性。当开展相关性分析或事件还原时，如数据时间基准不一致，将影响分析结果的可靠性。</w:t>
      </w:r>
    </w:p>
    <w:p w14:paraId="3F3500E6">
      <w:pPr>
        <w:pStyle w:val="178"/>
      </w:pPr>
      <w:r>
        <w:rPr>
          <w:rFonts w:hint="eastAsia"/>
          <w:b/>
          <w:bCs/>
        </w:rPr>
        <w:t>5.2.5</w:t>
      </w:r>
      <w:r>
        <w:rPr>
          <w:rFonts w:hint="eastAsia"/>
        </w:rPr>
        <w:t xml:space="preserve">  本条明确了视频与图像数据质量的基本要求。视频分辨率过低将影响船舶目标识别、行为分析及事件取证效果，因此规定最低分辨率要求，以保证监测应用及事后分析的有效性。</w:t>
      </w:r>
    </w:p>
    <w:p w14:paraId="6F704F98">
      <w:pPr>
        <w:pStyle w:val="178"/>
      </w:pPr>
      <w:r>
        <w:rPr>
          <w:rFonts w:hint="eastAsia"/>
          <w:b/>
          <w:bCs/>
        </w:rPr>
        <w:t>5.2.6</w:t>
      </w:r>
      <w:r>
        <w:rPr>
          <w:rFonts w:hint="eastAsia"/>
        </w:rPr>
        <w:t xml:space="preserve">  本条制定目的是提高监测数据的可管理性与可利用性。结构化数据便于系统进行自动分析、统计及跨系统共享，同时有利于数据长期存储及后续模型优化。</w:t>
      </w:r>
    </w:p>
    <w:p w14:paraId="42AA6478">
      <w:pPr>
        <w:pStyle w:val="182"/>
        <w:rPr>
          <w:lang w:val="en-US"/>
        </w:rPr>
      </w:pPr>
      <w:bookmarkStart w:id="116" w:name="_Toc221371952"/>
      <w:bookmarkStart w:id="117" w:name="_Toc221528791"/>
      <w:bookmarkStart w:id="118" w:name="_Toc221528720"/>
      <w:r>
        <w:rPr>
          <w:rFonts w:hint="eastAsia"/>
        </w:rPr>
        <w:t>5.</w:t>
      </w:r>
      <w:r>
        <w:rPr>
          <w:rFonts w:hint="eastAsia"/>
          <w:lang w:val="en-US"/>
        </w:rPr>
        <w:t>3</w:t>
      </w:r>
      <w:r>
        <w:rPr>
          <w:rFonts w:hint="eastAsia"/>
        </w:rPr>
        <w:t xml:space="preserve">  </w:t>
      </w:r>
      <w:r>
        <w:rPr>
          <w:rFonts w:hint="eastAsia"/>
          <w:lang w:val="en-US"/>
        </w:rPr>
        <w:t>数据编码</w:t>
      </w:r>
      <w:bookmarkEnd w:id="116"/>
      <w:bookmarkEnd w:id="117"/>
      <w:bookmarkEnd w:id="118"/>
    </w:p>
    <w:p w14:paraId="1DDD18F3">
      <w:pPr>
        <w:pStyle w:val="178"/>
      </w:pPr>
      <w:r>
        <w:rPr>
          <w:rFonts w:hint="eastAsia"/>
          <w:b/>
          <w:bCs/>
        </w:rPr>
        <w:t>5.3.2</w:t>
      </w:r>
      <w:r>
        <w:rPr>
          <w:rFonts w:hint="eastAsia"/>
        </w:rPr>
        <w:t xml:space="preserve">  本条制定目的是保证监测数据具备完整的识别与追溯能力。监测数据除数值本身外，还需包含测点编码、采集时间及数据状态等信息，以明确数据来源、采集时刻及数据有效性。</w:t>
      </w:r>
    </w:p>
    <w:p w14:paraId="4612F573">
      <w:pPr>
        <w:pStyle w:val="182"/>
        <w:rPr>
          <w:lang w:val="en-US"/>
        </w:rPr>
      </w:pPr>
      <w:bookmarkStart w:id="119" w:name="_Toc221528721"/>
      <w:bookmarkStart w:id="120" w:name="_Toc221371953"/>
      <w:bookmarkStart w:id="121" w:name="_Toc221528792"/>
      <w:r>
        <w:rPr>
          <w:rFonts w:hint="eastAsia"/>
        </w:rPr>
        <w:t>5.</w:t>
      </w:r>
      <w:r>
        <w:rPr>
          <w:rFonts w:hint="eastAsia"/>
          <w:lang w:val="en-US"/>
        </w:rPr>
        <w:t>4</w:t>
      </w:r>
      <w:r>
        <w:rPr>
          <w:rFonts w:hint="eastAsia"/>
        </w:rPr>
        <w:t xml:space="preserve">  </w:t>
      </w:r>
      <w:r>
        <w:rPr>
          <w:rFonts w:hint="eastAsia"/>
          <w:lang w:val="en-US"/>
        </w:rPr>
        <w:t>数据传输</w:t>
      </w:r>
      <w:bookmarkEnd w:id="119"/>
      <w:bookmarkEnd w:id="120"/>
      <w:bookmarkEnd w:id="121"/>
    </w:p>
    <w:p w14:paraId="605F0814">
      <w:pPr>
        <w:pStyle w:val="178"/>
      </w:pPr>
      <w:r>
        <w:rPr>
          <w:rFonts w:hint="eastAsia"/>
          <w:b/>
          <w:bCs/>
        </w:rPr>
        <w:t>5.4.2</w:t>
      </w:r>
      <w:r>
        <w:rPr>
          <w:rFonts w:hint="eastAsia"/>
        </w:rPr>
        <w:t xml:space="preserve">  本条明确了数据传输系统在监测系统中的基础作用。数据传输系统不仅承担数据传递功能，还应具备对采集数据的接收、处理及交换能力，以保证不同类型监测数据能够稳定进入后续分析与管理环节，支撑监测系统的连续运行。</w:t>
      </w:r>
    </w:p>
    <w:p w14:paraId="38C5D629">
      <w:pPr>
        <w:pStyle w:val="178"/>
      </w:pPr>
      <w:r>
        <w:rPr>
          <w:rFonts w:hint="eastAsia"/>
          <w:b/>
          <w:bCs/>
        </w:rPr>
        <w:t>5.4.3</w:t>
      </w:r>
      <w:r>
        <w:rPr>
          <w:rFonts w:hint="eastAsia"/>
        </w:rPr>
        <w:t xml:space="preserve">  本条强调了数据传输系统对不同工程环境的适应性要求。水上构筑物所处环境差异较大，通信条件易受地形、电磁环境及既有通信设施影响，因此数据传输方式不宜统一规定，而应结合现场条件进行合理选择。通过明确无线与有线传输的适用场景，并允许多种传输方式组合使用，在兼顾工程实施可行性的同时，提高系统运行的可靠性与灵活性。</w:t>
      </w:r>
    </w:p>
    <w:p w14:paraId="18B5B625">
      <w:pPr>
        <w:pStyle w:val="178"/>
      </w:pPr>
      <w:r>
        <w:rPr>
          <w:rFonts w:hint="eastAsia"/>
          <w:b/>
          <w:bCs/>
        </w:rPr>
        <w:t>5.4.4</w:t>
      </w:r>
      <w:r>
        <w:rPr>
          <w:rFonts w:hint="eastAsia"/>
        </w:rPr>
        <w:t xml:space="preserve">  本条制定目的是保证连续监测数据的时间一致性。船舶轨迹及视频流等数据具有连续变化特征，如传输不同步，将影响船舶行为分析及事件还原的准确性。因此要求该类数据采用同步传输方式，以保证数据分析结果的可靠性。</w:t>
      </w:r>
    </w:p>
    <w:p w14:paraId="0E19555A">
      <w:pPr>
        <w:pStyle w:val="178"/>
      </w:pPr>
      <w:r>
        <w:rPr>
          <w:rFonts w:hint="eastAsia"/>
          <w:b/>
          <w:bCs/>
        </w:rPr>
        <w:t>5.4.8</w:t>
      </w:r>
      <w:r>
        <w:rPr>
          <w:rFonts w:hint="eastAsia"/>
        </w:rPr>
        <w:t xml:space="preserve">  本条强调了数据传输系统在突发情况下的保障能力。水上环境中通信链路易受极端天气、设备故障或外部干扰影响，通过制定数据传输应急预案，可在异常情况下快速恢复数据链路或采取替代传输方式，保障监测系统持续稳定运行。</w:t>
      </w:r>
    </w:p>
    <w:p w14:paraId="7CEC221A">
      <w:pPr>
        <w:pStyle w:val="182"/>
        <w:rPr>
          <w:lang w:val="en-US"/>
        </w:rPr>
      </w:pPr>
      <w:bookmarkStart w:id="122" w:name="_Toc221371954"/>
      <w:bookmarkStart w:id="123" w:name="_Toc221528722"/>
      <w:bookmarkStart w:id="124" w:name="_Toc221528793"/>
      <w:r>
        <w:rPr>
          <w:rFonts w:hint="eastAsia"/>
        </w:rPr>
        <w:t>5.</w:t>
      </w:r>
      <w:r>
        <w:rPr>
          <w:rFonts w:hint="eastAsia"/>
          <w:lang w:val="en-US"/>
        </w:rPr>
        <w:t>5</w:t>
      </w:r>
      <w:r>
        <w:rPr>
          <w:rFonts w:hint="eastAsia"/>
        </w:rPr>
        <w:t xml:space="preserve">  </w:t>
      </w:r>
      <w:r>
        <w:rPr>
          <w:rFonts w:hint="eastAsia"/>
          <w:lang w:val="en-US"/>
        </w:rPr>
        <w:t>数据处理与分析</w:t>
      </w:r>
      <w:bookmarkEnd w:id="122"/>
      <w:bookmarkEnd w:id="123"/>
      <w:bookmarkEnd w:id="124"/>
    </w:p>
    <w:p w14:paraId="09E5396F">
      <w:pPr>
        <w:pStyle w:val="178"/>
      </w:pPr>
      <w:r>
        <w:rPr>
          <w:rFonts w:hint="eastAsia"/>
          <w:b/>
          <w:bCs/>
        </w:rPr>
        <w:t>5.5.1</w:t>
      </w:r>
      <w:r>
        <w:rPr>
          <w:rFonts w:hint="eastAsia"/>
        </w:rPr>
        <w:t xml:space="preserve">  本条旨在明确监测数据的有效性与对失真数据的处理方法。防船撞监测系统采集的数据在实际运行过程中易受到环境干扰、设备误差及通信波动等因素影响，原始数据可能存在噪声、异常值、数据漂移或缺失等情况，如不进行处理，将影响后续分析结果的准确性。</w:t>
      </w:r>
    </w:p>
    <w:p w14:paraId="39D8FFB6">
      <w:pPr>
        <w:pStyle w:val="178"/>
      </w:pPr>
      <w:r>
        <w:rPr>
          <w:rFonts w:hint="eastAsia"/>
          <w:b/>
          <w:bCs/>
        </w:rPr>
        <w:t>5.5.2</w:t>
      </w:r>
      <w:r>
        <w:rPr>
          <w:rFonts w:hint="eastAsia"/>
        </w:rPr>
        <w:t xml:space="preserve">  本条制定目的是提高视频监测数据的自动化处理能力。视频监测数据量大、人工识别不切实际，通过采用图像识别智能算法，可实现船舶目标识别、行为分析及异常事件自动检测，提高监测效率和识别准确性。</w:t>
      </w:r>
    </w:p>
    <w:p w14:paraId="54D6BF49">
      <w:pPr>
        <w:pStyle w:val="178"/>
      </w:pPr>
      <w:r>
        <w:rPr>
          <w:rFonts w:hint="eastAsia"/>
          <w:b/>
          <w:bCs/>
        </w:rPr>
        <w:t>5.5.3</w:t>
      </w:r>
      <w:r>
        <w:rPr>
          <w:rFonts w:hint="eastAsia"/>
        </w:rPr>
        <w:t xml:space="preserve">  本条制定旨在提高船舶与构筑物空间关系判断的准确性。雷达数据在目标距离测量方面具有稳定性优势，可作为净距计算的主要依据；结合视频图像数据进行辅助校核，可提高识别可靠性并减少误判情况。</w:t>
      </w:r>
    </w:p>
    <w:p w14:paraId="4D752903">
      <w:pPr>
        <w:pStyle w:val="178"/>
      </w:pPr>
      <w:r>
        <w:rPr>
          <w:rFonts w:hint="eastAsia"/>
          <w:b/>
          <w:bCs/>
        </w:rPr>
        <w:t>5.5.4</w:t>
      </w:r>
      <w:r>
        <w:rPr>
          <w:rFonts w:hint="eastAsia"/>
        </w:rPr>
        <w:t xml:space="preserve">  本条核心目的是发挥监测数据的长期价值。防船撞监测系统在运行过程中持续积累船舶航行及事件数据，通过对历史数据的分析，对阈值进行动态优化，有利于提升系统预警的准确性和适应性。</w:t>
      </w:r>
    </w:p>
    <w:p w14:paraId="22B33B99">
      <w:pPr>
        <w:pStyle w:val="182"/>
        <w:rPr>
          <w:lang w:val="en-US"/>
        </w:rPr>
      </w:pPr>
      <w:bookmarkStart w:id="125" w:name="_Toc221528723"/>
      <w:bookmarkStart w:id="126" w:name="_Toc221371955"/>
      <w:bookmarkStart w:id="127" w:name="_Toc221528794"/>
      <w:r>
        <w:rPr>
          <w:rFonts w:hint="eastAsia"/>
        </w:rPr>
        <w:t>5.</w:t>
      </w:r>
      <w:r>
        <w:rPr>
          <w:rFonts w:hint="eastAsia"/>
          <w:lang w:val="en-US"/>
        </w:rPr>
        <w:t>6</w:t>
      </w:r>
      <w:r>
        <w:rPr>
          <w:rFonts w:hint="eastAsia"/>
        </w:rPr>
        <w:t xml:space="preserve">  </w:t>
      </w:r>
      <w:r>
        <w:rPr>
          <w:rFonts w:hint="eastAsia"/>
          <w:lang w:val="en-US"/>
        </w:rPr>
        <w:t>数据存储</w:t>
      </w:r>
      <w:bookmarkEnd w:id="125"/>
      <w:bookmarkEnd w:id="126"/>
      <w:bookmarkEnd w:id="127"/>
    </w:p>
    <w:p w14:paraId="51021873">
      <w:pPr>
        <w:pStyle w:val="178"/>
        <w:rPr>
          <w:rFonts w:ascii="宋体" w:hAnsi="宋体"/>
          <w:sz w:val="24"/>
          <w:szCs w:val="24"/>
        </w:rPr>
      </w:pPr>
      <w:r>
        <w:rPr>
          <w:rFonts w:hint="eastAsia"/>
          <w:b/>
          <w:bCs/>
        </w:rPr>
        <w:t>5.6.1</w:t>
      </w:r>
      <w:r>
        <w:rPr>
          <w:rFonts w:hint="eastAsia"/>
        </w:rPr>
        <w:t xml:space="preserve">  防船撞监测系统具有数据连续性强、运行周期长的特点，单一存储方式难以满足数据安全与长期保存要求。本条通过构建现场采集站、监控中心及云存储组成的多级存储结构，形成数据冗余机制，提高监测数据的安全性与可靠性。</w:t>
      </w:r>
    </w:p>
    <w:p w14:paraId="5870D2A3">
      <w:pPr>
        <w:pStyle w:val="178"/>
      </w:pPr>
      <w:r>
        <w:rPr>
          <w:rFonts w:hint="eastAsia"/>
          <w:b/>
          <w:bCs/>
        </w:rPr>
        <w:t>5.6.2</w:t>
      </w:r>
      <w:r>
        <w:rPr>
          <w:rFonts w:hint="eastAsia"/>
        </w:rPr>
        <w:t xml:space="preserve">  本条强调监测数据应采用数据库技术进行统一管理，以提高数据存储效率与使用效率。防船撞监测系统涉及结构信息、船舶信息及预警事件等多类型数据，通过模块化架构进行分层、分类存储，可实现不同业务数据的独立管理与快速调用，并为数据分析与系统扩展提供支撑。</w:t>
      </w:r>
    </w:p>
    <w:p w14:paraId="7B4D8F67">
      <w:pPr>
        <w:pStyle w:val="178"/>
      </w:pPr>
      <w:r>
        <w:rPr>
          <w:rFonts w:hint="eastAsia"/>
          <w:b/>
          <w:bCs/>
        </w:rPr>
        <w:t>5.6.6</w:t>
      </w:r>
      <w:r>
        <w:rPr>
          <w:rFonts w:hint="eastAsia"/>
        </w:rPr>
        <w:t xml:space="preserve">  现场采集站以保障短期运行及事件追溯为主要目标，因此对不同类型数据设置差异化存储周期。视频与图像数据通过事件触发与定时录制相结合的方式进行存储，有利于降低存储压力；原始监测数据及处理后的结构化数据适当延长保存时间，可满足短期分析及系统运行校核需求。</w:t>
      </w:r>
    </w:p>
    <w:p w14:paraId="69835A9A">
      <w:pPr>
        <w:pStyle w:val="178"/>
      </w:pPr>
      <w:r>
        <w:rPr>
          <w:rFonts w:hint="eastAsia"/>
          <w:b/>
          <w:bCs/>
        </w:rPr>
        <w:t>5.6.7</w:t>
      </w:r>
      <w:r>
        <w:rPr>
          <w:rFonts w:hint="eastAsia"/>
        </w:rPr>
        <w:t xml:space="preserve">  监控中心承担长期数据管理与分析功能，需要满足事故追溯及长期风险评估需求。因此对视频数据、原始监测数据及结构化分析数据分别设置较长保存周期，并对特殊事件数据进行永久备份，以保障监测数据在全生命周期内的可追溯性与分析价值。</w:t>
      </w:r>
    </w:p>
    <w:p w14:paraId="6F37AD45">
      <w:pPr>
        <w:pStyle w:val="182"/>
      </w:pPr>
      <w:bookmarkStart w:id="128" w:name="_Toc221528795"/>
      <w:bookmarkStart w:id="129" w:name="_Toc221371956"/>
      <w:bookmarkStart w:id="130" w:name="_Toc221528724"/>
      <w:r>
        <w:rPr>
          <w:rFonts w:hint="eastAsia"/>
        </w:rPr>
        <w:t>5.</w:t>
      </w:r>
      <w:r>
        <w:rPr>
          <w:rFonts w:hint="eastAsia"/>
          <w:lang w:val="en-US"/>
        </w:rPr>
        <w:t>7</w:t>
      </w:r>
      <w:r>
        <w:rPr>
          <w:rFonts w:hint="eastAsia"/>
        </w:rPr>
        <w:t xml:space="preserve">  </w:t>
      </w:r>
      <w:r>
        <w:rPr>
          <w:rFonts w:hint="eastAsia"/>
          <w:lang w:val="en-US"/>
        </w:rPr>
        <w:t>数据交互与安全</w:t>
      </w:r>
      <w:bookmarkEnd w:id="128"/>
      <w:bookmarkEnd w:id="129"/>
      <w:bookmarkEnd w:id="130"/>
    </w:p>
    <w:p w14:paraId="45FF1C6A">
      <w:pPr>
        <w:pStyle w:val="178"/>
      </w:pPr>
      <w:r>
        <w:rPr>
          <w:rFonts w:hint="eastAsia"/>
          <w:b/>
          <w:bCs/>
        </w:rPr>
        <w:t>5.7.1</w:t>
      </w:r>
      <w:r>
        <w:rPr>
          <w:rFonts w:hint="eastAsia"/>
        </w:rPr>
        <w:t xml:space="preserve">  本条强调监测系统应具备多个管理主体数据交互与共享能力，并明确数据交互可采用接口交换、数据库同步或中间介质等方式，以适应不同系统建设条件。同时，数据在跨系统传输过程中需采取权限验证、身份认证及传输加密措施，以保障数据安全性。当系统与省、部级监管平台进行数据交互时，应满足上级平台统一的技术及安全要求，以确保数据接入的规范性和兼容性。</w:t>
      </w:r>
    </w:p>
    <w:p w14:paraId="66F1DB28">
      <w:pPr>
        <w:pStyle w:val="178"/>
      </w:pPr>
      <w:r>
        <w:rPr>
          <w:rFonts w:hint="eastAsia"/>
          <w:b/>
          <w:bCs/>
        </w:rPr>
        <w:t>5.7.2</w:t>
      </w:r>
      <w:r>
        <w:rPr>
          <w:rFonts w:hint="eastAsia"/>
        </w:rPr>
        <w:t xml:space="preserve">  考虑到防船撞监测系统涉及重要基础设施运行安全及实时监测数据，本条依据国家网络安全等级保护制度，对不同风险等级的监测系统提出相应安全防护要求。</w:t>
      </w:r>
    </w:p>
    <w:p w14:paraId="677186C3">
      <w:pPr>
        <w:pStyle w:val="178"/>
        <w:rPr>
          <w:rFonts w:ascii="宋体" w:hAnsi="宋体"/>
          <w:sz w:val="24"/>
          <w:szCs w:val="24"/>
        </w:rPr>
      </w:pPr>
      <w:r>
        <w:rPr>
          <w:rFonts w:hint="eastAsia"/>
          <w:b/>
          <w:bCs/>
        </w:rPr>
        <w:t>5.7.3</w:t>
      </w:r>
      <w:r>
        <w:rPr>
          <w:rFonts w:hint="eastAsia"/>
        </w:rPr>
        <w:t xml:space="preserve">  本条强调数据安全防护应贯穿数据存储、传输及使用全过程，防止数据被篡改、泄露或非法访问，保障监测数据的真实性与可追溯性。</w:t>
      </w:r>
    </w:p>
    <w:p w14:paraId="5C7A8025">
      <w:pPr>
        <w:pStyle w:val="177"/>
      </w:pPr>
      <w:bookmarkStart w:id="131" w:name="_Toc221371957"/>
      <w:bookmarkStart w:id="132" w:name="_Toc221528725"/>
      <w:bookmarkStart w:id="133" w:name="_Toc221528796"/>
      <w:r>
        <w:rPr>
          <w:rFonts w:hint="eastAsia"/>
        </w:rPr>
        <w:t>6</w:t>
      </w:r>
      <w:r>
        <w:t xml:space="preserve">  </w:t>
      </w:r>
      <w:r>
        <w:rPr>
          <w:rFonts w:hint="eastAsia"/>
        </w:rPr>
        <w:t>预警分区与预警方式</w:t>
      </w:r>
      <w:bookmarkEnd w:id="112"/>
      <w:bookmarkEnd w:id="131"/>
      <w:bookmarkEnd w:id="132"/>
      <w:bookmarkEnd w:id="133"/>
    </w:p>
    <w:p w14:paraId="6292E4C1">
      <w:pPr>
        <w:pStyle w:val="182"/>
      </w:pPr>
      <w:bookmarkStart w:id="134" w:name="_Toc221371958"/>
      <w:bookmarkStart w:id="135" w:name="_Toc221528797"/>
      <w:bookmarkStart w:id="136" w:name="_Toc221352481"/>
      <w:bookmarkStart w:id="137" w:name="_Toc221528726"/>
      <w:r>
        <w:rPr>
          <w:rFonts w:hint="eastAsia"/>
        </w:rPr>
        <w:t>6.1  预警分区</w:t>
      </w:r>
      <w:bookmarkEnd w:id="134"/>
      <w:bookmarkEnd w:id="135"/>
      <w:bookmarkEnd w:id="136"/>
      <w:bookmarkEnd w:id="137"/>
    </w:p>
    <w:p w14:paraId="385EADBC">
      <w:pPr>
        <w:pStyle w:val="178"/>
        <w:rPr>
          <w:lang w:val="zh-CN"/>
        </w:rPr>
      </w:pPr>
      <w:r>
        <w:rPr>
          <w:rFonts w:hint="eastAsia"/>
          <w:b/>
          <w:bCs/>
          <w:lang w:val="zh-CN"/>
        </w:rPr>
        <w:t>6.1.1</w:t>
      </w:r>
      <w:r>
        <w:rPr>
          <w:rFonts w:hint="eastAsia"/>
          <w:lang w:val="zh-CN"/>
        </w:rPr>
        <w:t xml:space="preserve">  本条确立了分级预警的原则。将水域划分为三级预警区域，旨在构建“远端识别、近端告警”的梯次防御体系。不同分区对应不同的风险等级，系统应根据船舶所处的区域采取不同的监测与预警策略，以平衡系统资源和预警效果。</w:t>
      </w:r>
    </w:p>
    <w:p w14:paraId="233BD52C">
      <w:pPr>
        <w:pStyle w:val="178"/>
        <w:rPr>
          <w:lang w:val="zh-CN"/>
        </w:rPr>
      </w:pPr>
      <w:r>
        <w:rPr>
          <w:rFonts w:hint="eastAsia"/>
          <w:b/>
          <w:bCs/>
          <w:lang w:val="zh-CN"/>
        </w:rPr>
        <w:t>6.1.2</w:t>
      </w:r>
      <w:r>
        <w:rPr>
          <w:rFonts w:hint="eastAsia"/>
          <w:lang w:val="zh-CN"/>
        </w:rPr>
        <w:t xml:space="preserve">  本条规定了预警区域设计前的基础调研工作。不同水域的通航环境差异巨大，宜统计分析船舶撞击概率，确定不同撞击概率下的设防代表船型并依此计算防船撞安全距离；历史事故资料有助于识别高风险航路和习惯性违章行为；航道规划则关系到系统的长远适用性。</w:t>
      </w:r>
    </w:p>
    <w:p w14:paraId="496DC496">
      <w:pPr>
        <w:pStyle w:val="178"/>
        <w:rPr>
          <w:lang w:val="zh-CN"/>
        </w:rPr>
      </w:pPr>
      <w:r>
        <w:rPr>
          <w:rFonts w:hint="eastAsia"/>
          <w:b/>
          <w:bCs/>
          <w:lang w:val="zh-CN"/>
        </w:rPr>
        <w:t>6.1.3</w:t>
      </w:r>
      <w:r>
        <w:rPr>
          <w:rFonts w:hint="eastAsia"/>
          <w:lang w:val="zh-CN"/>
        </w:rPr>
        <w:t xml:space="preserve">  本条明确了各级预警区域的划分界限。</w:t>
      </w:r>
    </w:p>
    <w:p w14:paraId="131B92E6">
      <w:pPr>
        <w:pStyle w:val="178"/>
        <w:rPr>
          <w:lang w:val="zh-CN"/>
        </w:rPr>
      </w:pPr>
      <w:r>
        <w:rPr>
          <w:rFonts w:hint="eastAsia"/>
          <w:b/>
          <w:bCs/>
          <w:lang w:val="zh-CN"/>
        </w:rPr>
        <w:t>6.1.4~6.1.10</w:t>
      </w:r>
      <w:r>
        <w:rPr>
          <w:rFonts w:hint="eastAsia"/>
          <w:lang w:val="zh-CN"/>
        </w:rPr>
        <w:t xml:space="preserve">  这些条款详细规定了不同类型水上构筑物防船撞安全距离的计算与修正原则。</w:t>
      </w:r>
    </w:p>
    <w:p w14:paraId="23DF4451">
      <w:pPr>
        <w:pStyle w:val="182"/>
      </w:pPr>
      <w:bookmarkStart w:id="138" w:name="_Toc221371959"/>
      <w:bookmarkStart w:id="139" w:name="_Toc221528727"/>
      <w:bookmarkStart w:id="140" w:name="_Toc221528798"/>
      <w:bookmarkStart w:id="141" w:name="_Toc221352482"/>
      <w:r>
        <w:rPr>
          <w:rFonts w:hint="eastAsia"/>
        </w:rPr>
        <w:t>6.2  预警方式</w:t>
      </w:r>
      <w:bookmarkEnd w:id="138"/>
      <w:bookmarkEnd w:id="139"/>
      <w:bookmarkEnd w:id="140"/>
      <w:bookmarkEnd w:id="141"/>
    </w:p>
    <w:p w14:paraId="474CAB32">
      <w:pPr>
        <w:pStyle w:val="178"/>
      </w:pPr>
      <w:r>
        <w:rPr>
          <w:rFonts w:hint="eastAsia"/>
          <w:b/>
          <w:bCs/>
          <w:lang w:val="zh-CN"/>
        </w:rPr>
        <w:t>6.2.1~6.2.3</w:t>
      </w:r>
      <w:r>
        <w:rPr>
          <w:rFonts w:hint="eastAsia"/>
        </w:rPr>
        <w:t xml:space="preserve">  本条规定了分级预警的具体执行方式。</w:t>
      </w:r>
    </w:p>
    <w:p w14:paraId="635079D9">
      <w:pPr>
        <w:pStyle w:val="178"/>
      </w:pPr>
      <w:r>
        <w:rPr>
          <w:rFonts w:hint="eastAsia"/>
          <w:b/>
          <w:bCs/>
          <w:lang w:val="zh-CN"/>
        </w:rPr>
        <w:t>6.2.4</w:t>
      </w:r>
      <w:r>
        <w:rPr>
          <w:rFonts w:hint="eastAsia"/>
        </w:rPr>
        <w:t xml:space="preserve">  VHF是船舶通信的标准配置。规定特定频道（如156.800MHz，即CH16频道）是为了确保预警信息能被过往船舶接收。</w:t>
      </w:r>
    </w:p>
    <w:p w14:paraId="215F6E1F">
      <w:pPr>
        <w:pStyle w:val="178"/>
      </w:pPr>
      <w:r>
        <w:rPr>
          <w:rFonts w:hint="eastAsia"/>
          <w:b/>
          <w:bCs/>
          <w:lang w:val="zh-CN"/>
        </w:rPr>
        <w:t xml:space="preserve">6.2.5~6.2.6  </w:t>
      </w:r>
      <w:r>
        <w:rPr>
          <w:rFonts w:hint="eastAsia"/>
        </w:rPr>
        <w:t>对声光报警设备的指向性和安装位置提出了要求。电笛喇叭口朝向航道轴线是为了保证声波的有效传播距离；警示灯设置在轮廓边缘有助于船舶在夜间识别构筑物边界。</w:t>
      </w:r>
    </w:p>
    <w:p w14:paraId="69511D33">
      <w:pPr>
        <w:pStyle w:val="178"/>
      </w:pPr>
      <w:r>
        <w:rPr>
          <w:rFonts w:hint="eastAsia"/>
          <w:b/>
          <w:bCs/>
        </w:rPr>
        <w:t>6.2.7</w:t>
      </w:r>
      <w:r>
        <w:rPr>
          <w:rFonts w:hint="eastAsia"/>
        </w:rPr>
        <w:t xml:space="preserve">  采用电笛、警示灯等声光报警设备进行预警信息发布时，不能与当地管理规定冲突，例如禁止鸣笛。</w:t>
      </w:r>
    </w:p>
    <w:p w14:paraId="75D922F1">
      <w:pPr>
        <w:pStyle w:val="177"/>
      </w:pPr>
      <w:bookmarkStart w:id="142" w:name="_Toc221352483"/>
      <w:bookmarkStart w:id="143" w:name="_Toc221371960"/>
      <w:bookmarkStart w:id="144" w:name="_Toc221528728"/>
      <w:bookmarkStart w:id="145" w:name="_Toc221528799"/>
      <w:r>
        <w:rPr>
          <w:rFonts w:hint="eastAsia"/>
        </w:rPr>
        <w:t>7</w:t>
      </w:r>
      <w:r>
        <w:t xml:space="preserve">  </w:t>
      </w:r>
      <w:r>
        <w:rPr>
          <w:rFonts w:hint="eastAsia"/>
        </w:rPr>
        <w:t>监测系统验收</w:t>
      </w:r>
      <w:bookmarkEnd w:id="142"/>
      <w:bookmarkEnd w:id="143"/>
      <w:bookmarkEnd w:id="144"/>
      <w:bookmarkEnd w:id="145"/>
    </w:p>
    <w:p w14:paraId="261E77AE">
      <w:pPr>
        <w:pStyle w:val="182"/>
      </w:pPr>
      <w:bookmarkStart w:id="146" w:name="_Toc221352484"/>
      <w:bookmarkStart w:id="147" w:name="_Toc221371961"/>
      <w:bookmarkStart w:id="148" w:name="_Toc221528729"/>
      <w:bookmarkStart w:id="149" w:name="_Toc221528800"/>
      <w:r>
        <w:rPr>
          <w:rFonts w:hint="eastAsia"/>
        </w:rPr>
        <w:t>7.1  硬件设备验收</w:t>
      </w:r>
      <w:bookmarkEnd w:id="146"/>
      <w:bookmarkEnd w:id="147"/>
      <w:bookmarkEnd w:id="148"/>
      <w:bookmarkEnd w:id="149"/>
    </w:p>
    <w:p w14:paraId="79E21910">
      <w:pPr>
        <w:pStyle w:val="178"/>
        <w:rPr>
          <w:rFonts w:cs="Times New Roman"/>
        </w:rPr>
      </w:pPr>
      <w:r>
        <w:rPr>
          <w:rFonts w:cs="Times New Roman"/>
          <w:b/>
          <w:bCs/>
        </w:rPr>
        <w:t xml:space="preserve">7.1.1~7.1.5 </w:t>
      </w:r>
      <w:r>
        <w:rPr>
          <w:rFonts w:cs="Times New Roman"/>
        </w:rPr>
        <w:t xml:space="preserve"> 规定了硬件进场及安装验收的基本要求。重点在于设备的防护等级（IP65/IP68）和防雷接地，因为水上环境高盐、高湿、多雷雨，硬件的物理防护能力直接决定了系统的寿命。</w:t>
      </w:r>
    </w:p>
    <w:p w14:paraId="71E86642">
      <w:pPr>
        <w:pStyle w:val="178"/>
      </w:pPr>
      <w:r>
        <w:rPr>
          <w:rFonts w:hint="eastAsia"/>
          <w:b/>
          <w:bCs/>
        </w:rPr>
        <w:t>7.1.6</w:t>
      </w:r>
      <w:r>
        <w:rPr>
          <w:rFonts w:hint="eastAsia"/>
        </w:rPr>
        <w:t xml:space="preserve">  本条规定了72小时连续稳定性测试。电子设备在初次上电运行阶段故障率较高，通过连续运行测试可以排除早期失效的设备，确保系统上线后的稳定性。</w:t>
      </w:r>
    </w:p>
    <w:p w14:paraId="7BA7DE18">
      <w:pPr>
        <w:pStyle w:val="182"/>
      </w:pPr>
      <w:bookmarkStart w:id="150" w:name="_Toc221371962"/>
      <w:bookmarkStart w:id="151" w:name="_Toc221352485"/>
      <w:bookmarkStart w:id="152" w:name="_Toc221528730"/>
      <w:bookmarkStart w:id="153" w:name="_Toc221528801"/>
      <w:r>
        <w:rPr>
          <w:rFonts w:hint="eastAsia"/>
        </w:rPr>
        <w:t>7.2  监测功能验收</w:t>
      </w:r>
      <w:bookmarkEnd w:id="150"/>
      <w:bookmarkEnd w:id="151"/>
      <w:bookmarkEnd w:id="152"/>
      <w:bookmarkEnd w:id="153"/>
    </w:p>
    <w:p w14:paraId="7200431D">
      <w:pPr>
        <w:pStyle w:val="178"/>
      </w:pPr>
      <w:r>
        <w:rPr>
          <w:rFonts w:hint="eastAsia"/>
          <w:b/>
          <w:bCs/>
        </w:rPr>
        <w:t>7.2.3</w:t>
      </w:r>
      <w:r>
        <w:rPr>
          <w:rFonts w:hint="eastAsia"/>
        </w:rPr>
        <w:t xml:space="preserve">  本条量化了关键监测指标的误差范围。超高、偏航、水位等数据的准确性是预警判断的基础，必须通过实测（如使用标准仪器比对）来验证是否达标。</w:t>
      </w:r>
    </w:p>
    <w:p w14:paraId="4DF6DCA8">
      <w:pPr>
        <w:pStyle w:val="178"/>
      </w:pPr>
      <w:r>
        <w:rPr>
          <w:rFonts w:hint="eastAsia"/>
          <w:b/>
          <w:bCs/>
        </w:rPr>
        <w:t>7.2.4</w:t>
      </w:r>
      <w:r>
        <w:rPr>
          <w:rFonts w:hint="eastAsia"/>
        </w:rPr>
        <w:t xml:space="preserve">  本条规定了超高、偏航、水位监测的频率。</w:t>
      </w:r>
    </w:p>
    <w:p w14:paraId="0F1BAE3E">
      <w:pPr>
        <w:pStyle w:val="178"/>
      </w:pPr>
      <w:r>
        <w:rPr>
          <w:rFonts w:hint="eastAsia"/>
          <w:b/>
          <w:bCs/>
        </w:rPr>
        <w:t xml:space="preserve">7.2.8  </w:t>
      </w:r>
      <w:r>
        <w:rPr>
          <w:rFonts w:hint="eastAsia"/>
        </w:rPr>
        <w:t>本条对数据完整性提出了高要求（95%）。防船撞系统需要连续跟踪船舶轨迹，数据丢失会导致轨迹中断、速度计算错误，从而引发误报或漏报。</w:t>
      </w:r>
    </w:p>
    <w:p w14:paraId="33F839FF">
      <w:pPr>
        <w:pStyle w:val="182"/>
      </w:pPr>
      <w:bookmarkStart w:id="154" w:name="_Toc221371963"/>
      <w:bookmarkStart w:id="155" w:name="_Toc221352486"/>
      <w:bookmarkStart w:id="156" w:name="_Toc221528731"/>
      <w:bookmarkStart w:id="157" w:name="_Toc221528802"/>
      <w:r>
        <w:rPr>
          <w:rFonts w:hint="eastAsia"/>
        </w:rPr>
        <w:t>7.3  预警功能验收</w:t>
      </w:r>
      <w:bookmarkEnd w:id="154"/>
      <w:bookmarkEnd w:id="155"/>
      <w:bookmarkEnd w:id="156"/>
      <w:bookmarkEnd w:id="157"/>
    </w:p>
    <w:p w14:paraId="54D5AB53">
      <w:pPr>
        <w:pStyle w:val="178"/>
      </w:pPr>
      <w:r>
        <w:rPr>
          <w:rFonts w:hint="eastAsia"/>
          <w:b/>
          <w:bCs/>
        </w:rPr>
        <w:t xml:space="preserve">7.3.1  </w:t>
      </w:r>
      <w:r>
        <w:rPr>
          <w:rFonts w:hint="eastAsia"/>
        </w:rPr>
        <w:t>预警的时效性是系统的核心生命力。规定视频专网传输时延不大于400ms，是为了确保后端看到的画面与现场基本同步，避免因延迟导致指挥失误。</w:t>
      </w:r>
    </w:p>
    <w:p w14:paraId="241A7821">
      <w:pPr>
        <w:pStyle w:val="178"/>
      </w:pPr>
      <w:r>
        <w:rPr>
          <w:rFonts w:hint="eastAsia"/>
          <w:b/>
          <w:bCs/>
        </w:rPr>
        <w:t>7.3.2</w:t>
      </w:r>
      <w:r>
        <w:rPr>
          <w:rFonts w:hint="eastAsia"/>
        </w:rPr>
        <w:t xml:space="preserve">  本条规定了预警系统的实船触发测试要求。仅靠模拟信号无法完全验证复杂环境下的预警逻辑，必须通过试验船舶进行不少于50次的实际触发测试。同时，限定了误报率（&lt;10%）和漏报率（&lt;15%）。5s的总响应时间是基于船舶航速推算的，确保在碰撞发生前留有处置窗口。</w:t>
      </w:r>
    </w:p>
    <w:p w14:paraId="267F4FD3">
      <w:pPr>
        <w:pStyle w:val="178"/>
      </w:pPr>
      <w:r>
        <w:rPr>
          <w:rFonts w:hint="eastAsia"/>
          <w:b/>
          <w:bCs/>
        </w:rPr>
        <w:t xml:space="preserve">7.3.7  </w:t>
      </w:r>
      <w:r>
        <w:rPr>
          <w:rFonts w:hint="eastAsia"/>
        </w:rPr>
        <w:t>本条要求进行全链路测试。从感知端发现目标，到传输端发送数据，再到处理端判断风险，最后到发布端（广播、灯光）执行动作，整个链条必须联动顺畅。</w:t>
      </w:r>
    </w:p>
    <w:p w14:paraId="05490CE6">
      <w:pPr>
        <w:pStyle w:val="177"/>
      </w:pPr>
      <w:bookmarkStart w:id="158" w:name="_Toc221371964"/>
      <w:bookmarkStart w:id="159" w:name="_Toc221352487"/>
      <w:bookmarkStart w:id="160" w:name="_Toc221528732"/>
      <w:bookmarkStart w:id="161" w:name="_Toc221528803"/>
      <w:r>
        <w:rPr>
          <w:rFonts w:hint="eastAsia"/>
        </w:rPr>
        <w:t>8</w:t>
      </w:r>
      <w:r>
        <w:t xml:space="preserve">  </w:t>
      </w:r>
      <w:r>
        <w:rPr>
          <w:rFonts w:hint="eastAsia"/>
        </w:rPr>
        <w:t>监测应用</w:t>
      </w:r>
      <w:bookmarkEnd w:id="158"/>
      <w:bookmarkEnd w:id="159"/>
      <w:bookmarkEnd w:id="160"/>
      <w:bookmarkEnd w:id="161"/>
    </w:p>
    <w:p w14:paraId="2E20A232">
      <w:pPr>
        <w:pStyle w:val="182"/>
      </w:pPr>
      <w:bookmarkStart w:id="162" w:name="_Toc221371965"/>
      <w:bookmarkStart w:id="163" w:name="_Toc221528733"/>
      <w:bookmarkStart w:id="164" w:name="_Toc221528804"/>
      <w:bookmarkStart w:id="165" w:name="_Toc221352489"/>
      <w:r>
        <w:rPr>
          <w:rFonts w:hint="eastAsia"/>
        </w:rPr>
        <w:t>8.1  一般规定</w:t>
      </w:r>
      <w:bookmarkEnd w:id="162"/>
      <w:bookmarkEnd w:id="163"/>
      <w:bookmarkEnd w:id="164"/>
    </w:p>
    <w:p w14:paraId="34FB1BC0">
      <w:pPr>
        <w:pStyle w:val="178"/>
      </w:pPr>
      <w:r>
        <w:rPr>
          <w:rFonts w:hint="eastAsia"/>
          <w:b/>
          <w:bCs/>
        </w:rPr>
        <w:t>8.1.1</w:t>
      </w:r>
      <w:r>
        <w:rPr>
          <w:rFonts w:hint="eastAsia"/>
        </w:rPr>
        <w:t xml:space="preserve">  本条明确监测应用的主要内容，包括监测数据分析、预警管理、撞后结构状态评估及突发事件应急支持等，体现防船撞监测由被动监测向主动管理转变的应用方向。</w:t>
      </w:r>
    </w:p>
    <w:p w14:paraId="20646872">
      <w:pPr>
        <w:pStyle w:val="178"/>
      </w:pPr>
      <w:r>
        <w:rPr>
          <w:rFonts w:hint="eastAsia"/>
          <w:b/>
          <w:bCs/>
        </w:rPr>
        <w:t>8.1.2</w:t>
      </w:r>
      <w:r>
        <w:rPr>
          <w:rFonts w:hint="eastAsia"/>
        </w:rPr>
        <w:t xml:space="preserve">  本条强调监测数据应与水上构筑物日常管养信息相结合进行综合分析。单一监测数据难以全面反映构筑物运行状态，通过融合巡检记录、维护信息及历史运行情况，可形成更具针对性的防船撞风险评估结论，并为日常管养及维护决策提供依据。</w:t>
      </w:r>
    </w:p>
    <w:p w14:paraId="4707B322">
      <w:pPr>
        <w:pStyle w:val="178"/>
        <w:rPr>
          <w:rFonts w:ascii="宋体" w:hAnsi="宋体"/>
          <w:sz w:val="24"/>
          <w:szCs w:val="24"/>
        </w:rPr>
      </w:pPr>
      <w:r>
        <w:rPr>
          <w:rFonts w:hint="eastAsia"/>
          <w:b/>
          <w:bCs/>
        </w:rPr>
        <w:t>8.1.3</w:t>
      </w:r>
      <w:r>
        <w:rPr>
          <w:rFonts w:hint="eastAsia"/>
        </w:rPr>
        <w:t xml:space="preserve">  水上构筑物所处航道环境及船舶通行特征会随时间发生变化，固定预警阈值难以长期适应实际运行需求。例如在潮汐水位波动情况下，通航净高会产生明显变化，从而影响风险判断条件。根据监测数据分析结果对超限阈值进行动态调整，可使预警规则随运行环境变化持续优化，减少误报与漏报情况，提高预警的准确性与有效性。</w:t>
      </w:r>
    </w:p>
    <w:p w14:paraId="0D6FF167">
      <w:pPr>
        <w:pStyle w:val="178"/>
        <w:rPr>
          <w:rFonts w:ascii="宋体" w:hAnsi="宋体"/>
          <w:sz w:val="24"/>
          <w:szCs w:val="24"/>
        </w:rPr>
      </w:pPr>
      <w:r>
        <w:rPr>
          <w:rFonts w:hint="eastAsia"/>
          <w:b/>
          <w:bCs/>
        </w:rPr>
        <w:t>8.1.4</w:t>
      </w:r>
      <w:r>
        <w:rPr>
          <w:rFonts w:hint="eastAsia"/>
        </w:rPr>
        <w:t xml:space="preserve">  本条强调不同监测系统之间的数据协同应用，通过综合分析结构响应数据与防船撞监测数据，可提高撞后结构安全判断的准确性，为后续检修及恢复运行提供技术依据。</w:t>
      </w:r>
    </w:p>
    <w:p w14:paraId="1A8CABED">
      <w:pPr>
        <w:pStyle w:val="182"/>
        <w:rPr>
          <w:lang w:val="en-US"/>
        </w:rPr>
      </w:pPr>
      <w:bookmarkStart w:id="166" w:name="_Toc221371966"/>
      <w:bookmarkStart w:id="167" w:name="_Toc221528734"/>
      <w:bookmarkStart w:id="168" w:name="_Toc221528805"/>
      <w:r>
        <w:rPr>
          <w:rFonts w:hint="eastAsia"/>
        </w:rPr>
        <w:t>8.</w:t>
      </w:r>
      <w:r>
        <w:rPr>
          <w:rFonts w:hint="eastAsia"/>
          <w:lang w:val="en-US"/>
        </w:rPr>
        <w:t>2</w:t>
      </w:r>
      <w:r>
        <w:rPr>
          <w:rFonts w:hint="eastAsia"/>
        </w:rPr>
        <w:t xml:space="preserve">  </w:t>
      </w:r>
      <w:r>
        <w:rPr>
          <w:rFonts w:hint="eastAsia"/>
          <w:lang w:val="en-US"/>
        </w:rPr>
        <w:t>监测数据分析</w:t>
      </w:r>
      <w:bookmarkEnd w:id="166"/>
      <w:bookmarkEnd w:id="167"/>
      <w:bookmarkEnd w:id="168"/>
    </w:p>
    <w:p w14:paraId="21AC5CB8">
      <w:pPr>
        <w:pStyle w:val="178"/>
      </w:pPr>
      <w:r>
        <w:rPr>
          <w:rFonts w:hint="eastAsia"/>
          <w:b/>
          <w:bCs/>
        </w:rPr>
        <w:t>8.2.1</w:t>
      </w:r>
      <w:r>
        <w:rPr>
          <w:rFonts w:hint="eastAsia"/>
        </w:rPr>
        <w:t xml:space="preserve">  由于水上构筑物所处环境复杂、影响因素多样，单一分析方法难以全面反映风险变化规律。本条明确数据分析可采用多种可靠方法适应不同工程规模及数据条件下的分析需求，为预警判断及运行管理提供技术支撑。</w:t>
      </w:r>
    </w:p>
    <w:p w14:paraId="6C6DCC78">
      <w:pPr>
        <w:pStyle w:val="178"/>
      </w:pPr>
      <w:r>
        <w:rPr>
          <w:rFonts w:hint="eastAsia"/>
          <w:b/>
          <w:bCs/>
        </w:rPr>
        <w:t>8.2.2</w:t>
      </w:r>
      <w:r>
        <w:rPr>
          <w:rFonts w:hint="eastAsia"/>
        </w:rPr>
        <w:t xml:space="preserve">  本条强调基于长期水位监测数据开展统计分析，并建立水位预测模型，以识别不同水位条件下的风险变化规律。通过明确通航高水位、通航低水位及水流速等关键参数，可为预警区域划分及预警阈值调整提供依据，提高系统对环境变化的适应能力。</w:t>
      </w:r>
    </w:p>
    <w:p w14:paraId="4B49F853">
      <w:pPr>
        <w:pStyle w:val="178"/>
      </w:pPr>
      <w:r>
        <w:rPr>
          <w:rFonts w:hint="eastAsia"/>
          <w:b/>
          <w:bCs/>
        </w:rPr>
        <w:t>8.2.3</w:t>
      </w:r>
      <w:r>
        <w:rPr>
          <w:rFonts w:hint="eastAsia"/>
        </w:rPr>
        <w:t xml:space="preserve">  船舶类型差异是影响船撞风险的重要因素，不同吨位、船首形状及材质在发生碰撞时产生的影响差异较大。本条提出基于监测数据建立代表性船舶模型，通过提取关键参数，对不同类型船舶的运行特征及潜在风险进行分类分析。</w:t>
      </w:r>
    </w:p>
    <w:p w14:paraId="6FC8752C">
      <w:pPr>
        <w:pStyle w:val="182"/>
        <w:rPr>
          <w:lang w:val="en-US"/>
        </w:rPr>
      </w:pPr>
      <w:bookmarkStart w:id="169" w:name="_Toc221528806"/>
      <w:bookmarkStart w:id="170" w:name="_Toc221371967"/>
      <w:bookmarkStart w:id="171" w:name="_Toc221528735"/>
      <w:r>
        <w:rPr>
          <w:rFonts w:hint="eastAsia"/>
        </w:rPr>
        <w:t>8.</w:t>
      </w:r>
      <w:r>
        <w:rPr>
          <w:rFonts w:hint="eastAsia"/>
          <w:lang w:val="en-US"/>
        </w:rPr>
        <w:t>3</w:t>
      </w:r>
      <w:r>
        <w:rPr>
          <w:rFonts w:hint="eastAsia"/>
        </w:rPr>
        <w:t xml:space="preserve">  </w:t>
      </w:r>
      <w:r>
        <w:rPr>
          <w:rFonts w:hint="eastAsia"/>
          <w:lang w:val="en-US"/>
        </w:rPr>
        <w:t>撞后结构状态评估</w:t>
      </w:r>
      <w:bookmarkEnd w:id="169"/>
      <w:bookmarkEnd w:id="170"/>
      <w:bookmarkEnd w:id="171"/>
    </w:p>
    <w:p w14:paraId="7843FDD6">
      <w:pPr>
        <w:pStyle w:val="178"/>
      </w:pPr>
      <w:r>
        <w:rPr>
          <w:rFonts w:hint="eastAsia"/>
          <w:b/>
          <w:bCs/>
        </w:rPr>
        <w:t>8.3.1</w:t>
      </w:r>
      <w:r>
        <w:rPr>
          <w:rFonts w:hint="eastAsia"/>
        </w:rPr>
        <w:t xml:space="preserve">  本条强调在撞击事件发生后，应基于监测系统记录的特殊事件数据开展分析，为应急管理措施的制定提供依据，并通过结构损伤程度评估辅助决策。对于重要或复杂工程，组织专家开展研判，有助于提高判断的科学性与安全性。</w:t>
      </w:r>
    </w:p>
    <w:p w14:paraId="636DE776">
      <w:pPr>
        <w:pStyle w:val="178"/>
      </w:pPr>
      <w:r>
        <w:rPr>
          <w:rFonts w:hint="eastAsia"/>
          <w:b/>
          <w:bCs/>
        </w:rPr>
        <w:t>8.3.2</w:t>
      </w:r>
      <w:r>
        <w:rPr>
          <w:rFonts w:hint="eastAsia"/>
        </w:rPr>
        <w:t xml:space="preserve">  本条明确撞后评估的依据，应基于记录的撞击全过程监测数据，结合构筑物结构模型进行综合分析，以还原撞击过程及受力情况，为是否限载、封闭或恢复通行等应急决策提供技术依据。</w:t>
      </w:r>
    </w:p>
    <w:p w14:paraId="0A55894A">
      <w:pPr>
        <w:pStyle w:val="178"/>
        <w:rPr>
          <w:rFonts w:ascii="宋体" w:hAnsi="宋体"/>
          <w:sz w:val="24"/>
          <w:szCs w:val="24"/>
        </w:rPr>
      </w:pPr>
      <w:r>
        <w:rPr>
          <w:rFonts w:hint="eastAsia"/>
          <w:b/>
          <w:bCs/>
        </w:rPr>
        <w:t>8.3.5</w:t>
      </w:r>
      <w:r>
        <w:rPr>
          <w:rFonts w:hint="eastAsia"/>
        </w:rPr>
        <w:t xml:space="preserve">  撞后评估通常分为快速评估与撞后有限元评估两种方法。本条通过区分快速评估与有限元评估的应用场景，明确快速评估主要用于事故发生后的即时判断，以支持应急响应决策；有限元评估则用于深入分析结构受损情况，由专业人员开展计算分析，为后续修复或加固方案提供技术依据。</w:t>
      </w:r>
    </w:p>
    <w:p w14:paraId="0E80932F">
      <w:pPr>
        <w:pStyle w:val="178"/>
        <w:rPr>
          <w:lang w:val="zh-CN"/>
        </w:rPr>
      </w:pPr>
      <w:r>
        <w:rPr>
          <w:rFonts w:hint="eastAsia"/>
          <w:b/>
          <w:bCs/>
        </w:rPr>
        <w:t>8.3.6</w:t>
      </w:r>
      <w:r>
        <w:rPr>
          <w:rFonts w:hint="eastAsia"/>
        </w:rPr>
        <w:t xml:space="preserve">  为统一撞后评估结论表达方式，本条提出结构损伤等级划分原则。通过将结构状态划分为无损、轻微损伤、中度损伤和重度损伤四个等级，可为应急处置、交通管制及维修决策提供统一判定依据。</w:t>
      </w:r>
    </w:p>
    <w:p w14:paraId="759B277F">
      <w:pPr>
        <w:pStyle w:val="182"/>
        <w:rPr>
          <w:lang w:val="en-US"/>
        </w:rPr>
      </w:pPr>
      <w:bookmarkStart w:id="172" w:name="_Toc221371968"/>
      <w:bookmarkStart w:id="173" w:name="_Toc221528807"/>
      <w:bookmarkStart w:id="174" w:name="_Toc221528736"/>
      <w:r>
        <w:rPr>
          <w:rFonts w:hint="eastAsia"/>
        </w:rPr>
        <w:t>8.</w:t>
      </w:r>
      <w:r>
        <w:rPr>
          <w:rFonts w:hint="eastAsia"/>
          <w:lang w:val="en-US"/>
        </w:rPr>
        <w:t>4</w:t>
      </w:r>
      <w:r>
        <w:rPr>
          <w:rFonts w:hint="eastAsia"/>
        </w:rPr>
        <w:t xml:space="preserve">  </w:t>
      </w:r>
      <w:r>
        <w:rPr>
          <w:rFonts w:hint="eastAsia"/>
          <w:lang w:val="en-US"/>
        </w:rPr>
        <w:t>撞后应急措施</w:t>
      </w:r>
      <w:bookmarkEnd w:id="172"/>
      <w:bookmarkEnd w:id="173"/>
      <w:bookmarkEnd w:id="174"/>
    </w:p>
    <w:p w14:paraId="5C472088">
      <w:pPr>
        <w:pStyle w:val="178"/>
      </w:pPr>
      <w:r>
        <w:rPr>
          <w:rFonts w:hint="eastAsia"/>
          <w:b/>
          <w:bCs/>
        </w:rPr>
        <w:t>8.4.1</w:t>
      </w:r>
      <w:r>
        <w:rPr>
          <w:rFonts w:hint="eastAsia"/>
        </w:rPr>
        <w:t xml:space="preserve">  本条依据撞后结构状态评估结果，将应急管理措施与损伤等级相对应，明确不同损伤程度下的管控原则和处置方向。通过将无损、轻微损伤、中度损伤和重度损伤与相应管理措施相衔接，可使应急处置过程具有明确依据，既保障结构与通行安全，又避免不必要的运行限制，提高应急管理的科学性和可操作性。</w:t>
      </w:r>
    </w:p>
    <w:p w14:paraId="2FB7E2BD">
      <w:pPr>
        <w:pStyle w:val="178"/>
      </w:pPr>
      <w:r>
        <w:rPr>
          <w:rFonts w:hint="eastAsia"/>
          <w:b/>
          <w:bCs/>
        </w:rPr>
        <w:t>8.4.2</w:t>
      </w:r>
      <w:r>
        <w:rPr>
          <w:rFonts w:hint="eastAsia"/>
        </w:rPr>
        <w:t xml:space="preserve">  本条强调建立以构筑物管理单位为牵头主体、相关部门协同参与的应急管理体系，并明确相应职责分工，形成统一指挥、分工明确的应急管理机制，提高突发事件处置效率。</w:t>
      </w:r>
    </w:p>
    <w:p w14:paraId="3C8244A0">
      <w:pPr>
        <w:pStyle w:val="178"/>
      </w:pPr>
      <w:r>
        <w:rPr>
          <w:rFonts w:hint="eastAsia"/>
          <w:b/>
          <w:bCs/>
        </w:rPr>
        <w:t>8.4.3</w:t>
      </w:r>
      <w:r>
        <w:rPr>
          <w:rFonts w:hint="eastAsia"/>
        </w:rPr>
        <w:t xml:space="preserve">  在应急处置过程中，应及时共享结构状态信息、监测数据、现场检查结果及专家评估意见，并根据评估结果动态调整应急措施和管理决策。通过信息协同与持续反馈，可提高应急处置的针对性和及时性，降低次生风险，尽量减少结构损伤和运行影响。</w:t>
      </w:r>
    </w:p>
    <w:p w14:paraId="2B873BCB">
      <w:pPr>
        <w:pStyle w:val="177"/>
      </w:pPr>
      <w:bookmarkStart w:id="175" w:name="_Toc221528737"/>
      <w:bookmarkStart w:id="176" w:name="_Toc221528808"/>
      <w:bookmarkStart w:id="177" w:name="_Toc221371969"/>
      <w:r>
        <w:rPr>
          <w:rFonts w:hint="eastAsia"/>
        </w:rPr>
        <w:t>9</w:t>
      </w:r>
      <w:r>
        <w:t xml:space="preserve">  </w:t>
      </w:r>
      <w:r>
        <w:rPr>
          <w:rFonts w:hint="eastAsia"/>
        </w:rPr>
        <w:t>监测系统运维</w:t>
      </w:r>
      <w:bookmarkEnd w:id="165"/>
      <w:bookmarkEnd w:id="175"/>
      <w:bookmarkEnd w:id="176"/>
      <w:bookmarkEnd w:id="177"/>
    </w:p>
    <w:p w14:paraId="7E0DB076">
      <w:pPr>
        <w:pStyle w:val="178"/>
      </w:pPr>
      <w:r>
        <w:rPr>
          <w:rFonts w:hint="eastAsia"/>
          <w:b/>
          <w:bCs/>
        </w:rPr>
        <w:t>9.0.1</w:t>
      </w:r>
      <w:r>
        <w:rPr>
          <w:rFonts w:hint="eastAsia"/>
        </w:rPr>
        <w:t xml:space="preserve">  运维是系统长期有效的保障。防船撞系统长期处于恶劣的水上环境，传感器易受污染、腐蚀，必须建立常态化的检查机制。</w:t>
      </w:r>
    </w:p>
    <w:p w14:paraId="6E379746">
      <w:pPr>
        <w:pStyle w:val="178"/>
      </w:pPr>
      <w:r>
        <w:rPr>
          <w:rFonts w:hint="eastAsia"/>
          <w:b/>
          <w:bCs/>
        </w:rPr>
        <w:t>9.0.2~9.0.5</w:t>
      </w:r>
      <w:r>
        <w:rPr>
          <w:rFonts w:hint="eastAsia"/>
        </w:rPr>
        <w:t xml:space="preserve">  区分了硬件和软件的日常检查和定期维护。</w:t>
      </w:r>
    </w:p>
    <w:p w14:paraId="65B354BC">
      <w:pPr>
        <w:pStyle w:val="178"/>
      </w:pPr>
      <w:r>
        <w:rPr>
          <w:rFonts w:hint="eastAsia"/>
          <w:b/>
          <w:bCs/>
        </w:rPr>
        <w:t xml:space="preserve">9.0.6  </w:t>
      </w:r>
      <w:r>
        <w:rPr>
          <w:rFonts w:hint="eastAsia"/>
        </w:rPr>
        <w:t>本条规定了定期标定校准的要求。传感器（如雷达、激光）在使用一段时间后会出现零点漂移或精度下降，或者因构筑物自身变位导致基准变化，因此必须每年进行校准，确保数据真实可靠。</w:t>
      </w:r>
    </w:p>
    <w:p w14:paraId="7CA81B9F">
      <w:pPr>
        <w:pStyle w:val="177"/>
      </w:pPr>
      <w:bookmarkStart w:id="178" w:name="_Toc221352490"/>
      <w:bookmarkStart w:id="179" w:name="_Toc221528809"/>
      <w:bookmarkStart w:id="180" w:name="_Toc221371970"/>
      <w:bookmarkStart w:id="181" w:name="_Toc221528738"/>
      <w:r>
        <w:rPr>
          <w:rFonts w:hint="eastAsia"/>
        </w:rPr>
        <w:t>附录A（资料性）测点布设示意图</w:t>
      </w:r>
      <w:bookmarkEnd w:id="178"/>
      <w:bookmarkEnd w:id="179"/>
      <w:bookmarkEnd w:id="180"/>
      <w:bookmarkEnd w:id="181"/>
    </w:p>
    <w:p w14:paraId="5838A61C">
      <w:pPr>
        <w:pStyle w:val="178"/>
        <w:ind w:firstLine="420" w:firstLineChars="200"/>
      </w:pPr>
      <w:r>
        <w:rPr>
          <w:rFonts w:hint="eastAsia"/>
        </w:rPr>
        <w:t>本附录提供了不同类型水上构筑物（斜拉桥、悬索桥、拱桥、梁桥、水上房屋、钻井平台等）的典型测点布设方案。</w:t>
      </w:r>
    </w:p>
    <w:p w14:paraId="10496A0C">
      <w:pPr>
        <w:pStyle w:val="178"/>
        <w:ind w:firstLine="420" w:firstLineChars="200"/>
      </w:pPr>
      <w:r>
        <w:rPr>
          <w:rFonts w:hint="eastAsia"/>
        </w:rPr>
        <w:t>图示说明：图中展示了AIS、雷达、摄像头、声光预警装置等设备的推荐安装位置。</w:t>
      </w:r>
    </w:p>
    <w:p w14:paraId="6B761B15">
      <w:pPr>
        <w:pStyle w:val="178"/>
        <w:ind w:firstLine="420" w:firstLineChars="200"/>
      </w:pPr>
      <w:r>
        <w:rPr>
          <w:rFonts w:hint="eastAsia"/>
        </w:rPr>
        <w:t>执行说明：实际工程中，应根据构筑物的具体结构形式、通航净空限制及现场供电通讯条件，参考本附录图示进行优化调整，确保监测无盲区。</w:t>
      </w:r>
    </w:p>
    <w:p w14:paraId="2CF9F4D5">
      <w:pPr>
        <w:pStyle w:val="177"/>
      </w:pPr>
      <w:bookmarkStart w:id="182" w:name="_Toc221352491"/>
      <w:bookmarkStart w:id="183" w:name="_Toc221528810"/>
      <w:bookmarkStart w:id="184" w:name="_Toc221371971"/>
      <w:bookmarkStart w:id="185" w:name="_Toc221528739"/>
      <w:r>
        <w:rPr>
          <w:rFonts w:hint="eastAsia"/>
        </w:rPr>
        <w:t>附录B（资料性）预警分区示意图</w:t>
      </w:r>
      <w:bookmarkEnd w:id="182"/>
      <w:bookmarkEnd w:id="183"/>
      <w:bookmarkEnd w:id="184"/>
      <w:bookmarkEnd w:id="185"/>
    </w:p>
    <w:p w14:paraId="0C326121">
      <w:pPr>
        <w:pStyle w:val="178"/>
        <w:ind w:firstLine="420" w:firstLineChars="200"/>
      </w:pPr>
      <w:r>
        <w:rPr>
          <w:rFonts w:hint="eastAsia"/>
        </w:rPr>
        <w:t>本附录直观展示了三级预警区域的空间形态。</w:t>
      </w:r>
    </w:p>
    <w:p w14:paraId="03C4E8FD">
      <w:pPr>
        <w:pStyle w:val="178"/>
        <w:ind w:firstLine="420" w:firstLineChars="200"/>
      </w:pPr>
      <w:r>
        <w:rPr>
          <w:rFonts w:hint="eastAsia"/>
        </w:rPr>
        <w:t>图示说明：</w:t>
      </w:r>
    </w:p>
    <w:p w14:paraId="342AD5A7">
      <w:pPr>
        <w:pStyle w:val="178"/>
        <w:ind w:firstLine="420" w:firstLineChars="200"/>
      </w:pPr>
      <w:r>
        <w:rPr>
          <w:rFonts w:hint="eastAsia"/>
        </w:rPr>
        <w:t>一级预警区域（核心区）：距离通常为防船撞安全距离。</w:t>
      </w:r>
    </w:p>
    <w:p w14:paraId="6A5333CB">
      <w:pPr>
        <w:pStyle w:val="178"/>
        <w:ind w:firstLine="420" w:firstLineChars="200"/>
      </w:pPr>
      <w:r>
        <w:rPr>
          <w:rFonts w:hint="eastAsia"/>
        </w:rPr>
        <w:t>二级预警区域（缓冲区）：包裹在一级区域外围。</w:t>
      </w:r>
    </w:p>
    <w:p w14:paraId="14F6E191">
      <w:pPr>
        <w:pStyle w:val="178"/>
        <w:ind w:firstLine="420" w:firstLineChars="200"/>
      </w:pPr>
      <w:r>
        <w:rPr>
          <w:rFonts w:hint="eastAsia"/>
        </w:rPr>
        <w:t>三级预警区域（关注区）：位于最外层，覆盖雷达有效探测范围。</w:t>
      </w:r>
    </w:p>
    <w:p w14:paraId="2F93BE09">
      <w:pPr>
        <w:pStyle w:val="178"/>
        <w:ind w:firstLine="420" w:firstLineChars="200"/>
      </w:pPr>
      <w:r>
        <w:rPr>
          <w:rFonts w:hint="eastAsia"/>
        </w:rPr>
        <w:t>执行说明：图中展示了预警区域随航道走向、地形及构筑物形状的分布关系。在软件设置电子围栏时，应参考此示意图，结合电子海图和实际航道边界进行坐标划定。</w:t>
      </w:r>
    </w:p>
    <w:p w14:paraId="51EE234E">
      <w:pPr>
        <w:pStyle w:val="177"/>
      </w:pPr>
      <w:bookmarkStart w:id="186" w:name="_Toc221528740"/>
      <w:bookmarkStart w:id="187" w:name="_Toc221352492"/>
      <w:bookmarkStart w:id="188" w:name="_Toc221371972"/>
      <w:bookmarkStart w:id="189" w:name="_Toc221528811"/>
      <w:r>
        <w:rPr>
          <w:rFonts w:hint="eastAsia"/>
        </w:rPr>
        <w:t>附录C（规范性）监测数据表示形式常用表</w:t>
      </w:r>
      <w:bookmarkEnd w:id="186"/>
      <w:bookmarkEnd w:id="187"/>
      <w:bookmarkEnd w:id="188"/>
      <w:bookmarkEnd w:id="189"/>
    </w:p>
    <w:p w14:paraId="37CD3E7A">
      <w:pPr>
        <w:pStyle w:val="178"/>
        <w:ind w:firstLine="420" w:firstLineChars="200"/>
      </w:pPr>
      <w:r>
        <w:rPr>
          <w:rFonts w:hint="eastAsia"/>
        </w:rPr>
        <w:t>本附录旨在规范监测数据的编码与存储格式，是实现数据互联互通的基础。</w:t>
      </w:r>
    </w:p>
    <w:p w14:paraId="57E2B1AD">
      <w:pPr>
        <w:pStyle w:val="178"/>
        <w:ind w:firstLine="420" w:firstLineChars="200"/>
      </w:pPr>
      <w:r>
        <w:rPr>
          <w:rFonts w:hint="eastAsia"/>
        </w:rPr>
        <w:t>表C.1与C.2：定义了构筑物类型标识码（如QL代表桥梁）和监测类别编码（如VOH代表船舶超高）。统一的编码规则有助于构建标准化的数据库，方便省级或部级平台对不同项目数据的统一调取与管理。</w:t>
      </w:r>
    </w:p>
    <w:p w14:paraId="2EC70E25">
      <w:pPr>
        <w:pStyle w:val="178"/>
        <w:ind w:firstLine="420" w:firstLineChars="200"/>
      </w:pPr>
      <w:r>
        <w:rPr>
          <w:rFonts w:hint="eastAsia"/>
        </w:rPr>
        <w:t>表C.3~C.5：提供了传感器编号、加速度数据及其他通用数据的标准记录表格形式。规范化的记录表格有利于数据清洗、归档以及后续的大数据分析与事故追溯。</w:t>
      </w:r>
    </w:p>
    <w:p w14:paraId="2BC35E33">
      <w:pPr>
        <w:pStyle w:val="177"/>
      </w:pPr>
      <w:bookmarkStart w:id="190" w:name="_Toc221352493"/>
      <w:bookmarkStart w:id="191" w:name="_Toc221371973"/>
      <w:bookmarkStart w:id="192" w:name="_Toc221528741"/>
      <w:bookmarkStart w:id="193" w:name="_Toc221528812"/>
      <w:r>
        <w:rPr>
          <w:rFonts w:hint="eastAsia"/>
        </w:rPr>
        <w:t>附录D（规范性）防船撞安全距离</w:t>
      </w:r>
      <w:bookmarkEnd w:id="190"/>
      <w:bookmarkEnd w:id="191"/>
      <w:bookmarkEnd w:id="192"/>
      <w:bookmarkEnd w:id="193"/>
    </w:p>
    <w:p w14:paraId="40FC1E80">
      <w:pPr>
        <w:pStyle w:val="178"/>
        <w:ind w:firstLine="420" w:firstLineChars="200"/>
      </w:pPr>
      <w:r>
        <w:rPr>
          <w:rFonts w:hint="eastAsia"/>
        </w:rPr>
        <w:t>本附录给出了防船撞安全距离的计算方法及参考取值，为工程设计及监测预警区域划定提供依据。防船撞安全距离受船舶操控性能、航行环境及构筑物布置条件等多因素影响，不同工程之间差异较大。在具备详细船舶参数及航道条件时，宜采用计算方法确定；在缺乏完整资料条件下，可采用经验取值，并结合实际监测数据进行修正。</w:t>
      </w:r>
    </w:p>
    <w:p w14:paraId="60F93C55">
      <w:pPr>
        <w:pStyle w:val="177"/>
      </w:pPr>
      <w:bookmarkStart w:id="194" w:name="_Toc221528742"/>
      <w:bookmarkStart w:id="195" w:name="_Toc221528813"/>
      <w:r>
        <w:rPr>
          <w:rFonts w:hint="eastAsia"/>
        </w:rPr>
        <w:t>附录E（资料性）预警信息发布示例</w:t>
      </w:r>
      <w:bookmarkEnd w:id="194"/>
      <w:bookmarkEnd w:id="195"/>
    </w:p>
    <w:p w14:paraId="3B9CCB28">
      <w:pPr>
        <w:pStyle w:val="178"/>
        <w:ind w:firstLine="420" w:firstLineChars="200"/>
      </w:pPr>
      <w:r>
        <w:rPr>
          <w:rFonts w:hint="eastAsia"/>
        </w:rPr>
        <w:t>本附录给出了船舶超高、超宽及偏航风险场景下，VHF、电笛、警示灯协同发布预警信息的分级响应流程，供工程应用参考。</w:t>
      </w:r>
    </w:p>
    <w:p w14:paraId="25A9C5C6">
      <w:pPr>
        <w:pStyle w:val="178"/>
        <w:ind w:firstLine="420" w:firstLineChars="200"/>
      </w:pPr>
    </w:p>
    <w:p w14:paraId="2A7F531D">
      <w:pPr>
        <w:pStyle w:val="178"/>
        <w:ind w:firstLine="420" w:firstLineChars="200"/>
      </w:pPr>
    </w:p>
    <w:sectPr>
      <w:footerReference r:id="rId16" w:type="default"/>
      <w:pgSz w:w="11906" w:h="16838"/>
      <w:pgMar w:top="1418" w:right="1701" w:bottom="1418"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Angsana New">
    <w:altName w:val="Microsoft Sans Serif"/>
    <w:panose1 w:val="02020603050405020304"/>
    <w:charset w:val="DE"/>
    <w:family w:val="roman"/>
    <w:pitch w:val="default"/>
    <w:sig w:usb0="00000000" w:usb1="00000000" w:usb2="00000000" w:usb3="00000000" w:csb0="00010001" w:csb1="00000000"/>
  </w:font>
  <w:font w:name="Verdana">
    <w:panose1 w:val="020B0604030504040204"/>
    <w:charset w:val="00"/>
    <w:family w:val="swiss"/>
    <w:pitch w:val="default"/>
    <w:sig w:usb0="A00006FF" w:usb1="4000205B" w:usb2="00000010" w:usb3="00000000" w:csb0="2000019F" w:csb1="00000000"/>
  </w:font>
  <w:font w:name="Microsoft YaHei UI">
    <w:panose1 w:val="020B0503020204020204"/>
    <w:charset w:val="86"/>
    <w:family w:val="swiss"/>
    <w:pitch w:val="default"/>
    <w:sig w:usb0="80000287" w:usb1="2ACF3C50" w:usb2="00000016" w:usb3="00000000" w:csb0="0004001F" w:csb1="00000000"/>
  </w:font>
  <w:font w:name="Times">
    <w:altName w:val="Times New Roman"/>
    <w:panose1 w:val="02020603050405020304"/>
    <w:charset w:val="00"/>
    <w:family w:val="roman"/>
    <w:pitch w:val="default"/>
    <w:sig w:usb0="00000000" w:usb1="00000000" w:usb2="00000009" w:usb3="00000000" w:csb0="000001FF"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Simsun (Founder Extended)">
    <w:altName w:val="宋体"/>
    <w:panose1 w:val="00000000000000000000"/>
    <w:charset w:val="86"/>
    <w:family w:val="script"/>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方正黑体简体">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Microsoft Sans Serif">
    <w:panose1 w:val="020B0604020202020204"/>
    <w:charset w:val="00"/>
    <w:family w:val="auto"/>
    <w:pitch w:val="default"/>
    <w:sig w:usb0="E5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0B560">
    <w:pPr>
      <w:pStyle w:val="22"/>
      <w:framePr w:wrap="around" w:vAnchor="text" w:hAnchor="margin" w:xAlign="center" w:y="1"/>
      <w:rPr>
        <w:rStyle w:val="38"/>
      </w:rPr>
    </w:pPr>
    <w:r>
      <w:rPr>
        <w:rStyle w:val="38"/>
      </w:rPr>
      <w:fldChar w:fldCharType="begin"/>
    </w:r>
    <w:r>
      <w:rPr>
        <w:rStyle w:val="38"/>
      </w:rPr>
      <w:instrText xml:space="preserve">PAGE  </w:instrText>
    </w:r>
    <w:r>
      <w:rPr>
        <w:rStyle w:val="38"/>
      </w:rPr>
      <w:fldChar w:fldCharType="separate"/>
    </w:r>
    <w:r>
      <w:rPr>
        <w:rStyle w:val="38"/>
      </w:rPr>
      <w:t>2</w:t>
    </w:r>
    <w:r>
      <w:rPr>
        <w:rStyle w:val="38"/>
      </w:rPr>
      <w:fldChar w:fldCharType="end"/>
    </w:r>
  </w:p>
  <w:p w14:paraId="440B0309">
    <w:pPr>
      <w:pStyle w:val="2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BB35B">
    <w:pPr>
      <w:pStyle w:val="22"/>
      <w:jc w:val="center"/>
    </w:pPr>
    <w:r>
      <w:fldChar w:fldCharType="begin"/>
    </w:r>
    <w:r>
      <w:instrText xml:space="preserve">PAGE   \* MERGEFORMAT</w:instrText>
    </w:r>
    <w:r>
      <w:fldChar w:fldCharType="separate"/>
    </w:r>
    <w:r>
      <w:rPr>
        <w:lang w:val="zh-CN" w:eastAsia="zh-CN"/>
      </w:rPr>
      <w:t>2</w:t>
    </w:r>
    <w:r>
      <w:fldChar w:fldCharType="end"/>
    </w:r>
  </w:p>
  <w:p w14:paraId="05BC65DB">
    <w:pPr>
      <w:pStyle w:val="22"/>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70C4E">
    <w:pPr>
      <w:pStyle w:val="22"/>
      <w:jc w:val="center"/>
    </w:pPr>
    <w:r>
      <w:fldChar w:fldCharType="begin"/>
    </w:r>
    <w:r>
      <w:instrText xml:space="preserve">PAGE   \* MERGEFORMAT</w:instrText>
    </w:r>
    <w:r>
      <w:fldChar w:fldCharType="separate"/>
    </w:r>
    <w:r>
      <w:rPr>
        <w:lang w:val="zh-CN"/>
      </w:rPr>
      <w:t>35</w:t>
    </w:r>
    <w:r>
      <w:fldChar w:fldCharType="end"/>
    </w:r>
  </w:p>
  <w:p w14:paraId="0DEFDDC9">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38243768"/>
      <w:docPartObj>
        <w:docPartGallery w:val="AutoText"/>
      </w:docPartObj>
    </w:sdtPr>
    <w:sdtContent>
      <w:p w14:paraId="558E0702">
        <w:pPr>
          <w:pStyle w:val="22"/>
          <w:jc w:val="right"/>
        </w:pPr>
        <w:r>
          <w:fldChar w:fldCharType="begin"/>
        </w:r>
        <w:r>
          <w:instrText xml:space="preserve">PAGE   \* MERGEFORMAT</w:instrText>
        </w:r>
        <w:r>
          <w:fldChar w:fldCharType="separate"/>
        </w:r>
        <w:r>
          <w:rPr>
            <w:lang w:val="zh-CN" w:eastAsia="zh-CN"/>
          </w:rPr>
          <w:t>2</w:t>
        </w:r>
        <w:r>
          <w:fldChar w:fldCharType="end"/>
        </w:r>
      </w:p>
    </w:sdtContent>
  </w:sdt>
  <w:p w14:paraId="44AFAFEB">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E144D">
    <w:pPr>
      <w:pStyle w:val="22"/>
      <w:jc w:val="center"/>
    </w:pPr>
  </w:p>
  <w:p w14:paraId="59CDAC02">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0EB20">
    <w:pPr>
      <w:pStyle w:val="22"/>
      <w:framePr w:wrap="around" w:vAnchor="text" w:hAnchor="margin" w:xAlign="center" w:y="1"/>
      <w:ind w:firstLine="360"/>
      <w:rPr>
        <w:rStyle w:val="38"/>
      </w:rPr>
    </w:pPr>
    <w:r>
      <w:rPr>
        <w:rStyle w:val="38"/>
      </w:rPr>
      <w:fldChar w:fldCharType="begin"/>
    </w:r>
    <w:r>
      <w:rPr>
        <w:rStyle w:val="38"/>
      </w:rPr>
      <w:instrText xml:space="preserve">PAGE  </w:instrText>
    </w:r>
    <w:r>
      <w:rPr>
        <w:rStyle w:val="38"/>
      </w:rPr>
      <w:fldChar w:fldCharType="separate"/>
    </w:r>
    <w:r>
      <w:rPr>
        <w:rStyle w:val="38"/>
      </w:rPr>
      <w:t>2</w:t>
    </w:r>
    <w:r>
      <w:rPr>
        <w:rStyle w:val="38"/>
      </w:rPr>
      <w:fldChar w:fldCharType="end"/>
    </w:r>
  </w:p>
  <w:p w14:paraId="4E4916F9">
    <w:pPr>
      <w:pStyle w:val="22"/>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6938542"/>
      <w:docPartObj>
        <w:docPartGallery w:val="AutoText"/>
      </w:docPartObj>
    </w:sdtPr>
    <w:sdtContent>
      <w:p w14:paraId="23D3901B">
        <w:pPr>
          <w:pStyle w:val="22"/>
          <w:jc w:val="right"/>
        </w:pPr>
        <w:r>
          <w:fldChar w:fldCharType="begin"/>
        </w:r>
        <w:r>
          <w:instrText xml:space="preserve">PAGE   \* MERGEFORMAT</w:instrText>
        </w:r>
        <w:r>
          <w:fldChar w:fldCharType="separate"/>
        </w:r>
        <w:r>
          <w:rPr>
            <w:lang w:val="zh-CN" w:eastAsia="zh-CN"/>
          </w:rPr>
          <w:t>2</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86593369"/>
      <w:docPartObj>
        <w:docPartGallery w:val="AutoText"/>
      </w:docPartObj>
    </w:sdtPr>
    <w:sdtContent>
      <w:p w14:paraId="2B60A741">
        <w:pPr>
          <w:pStyle w:val="22"/>
          <w:jc w:val="right"/>
        </w:pPr>
        <w:r>
          <w:fldChar w:fldCharType="begin"/>
        </w:r>
        <w:r>
          <w:instrText xml:space="preserve">PAGE   \* MERGEFORMAT</w:instrText>
        </w:r>
        <w:r>
          <w:fldChar w:fldCharType="separate"/>
        </w:r>
        <w:r>
          <w:rPr>
            <w:lang w:val="zh-CN" w:eastAsia="zh-CN"/>
          </w:rPr>
          <w:t>2</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9299400"/>
      <w:docPartObj>
        <w:docPartGallery w:val="AutoText"/>
      </w:docPartObj>
    </w:sdtPr>
    <w:sdtContent>
      <w:p w14:paraId="382B27D5">
        <w:pPr>
          <w:pStyle w:val="22"/>
        </w:pPr>
        <w:r>
          <w:fldChar w:fldCharType="begin"/>
        </w:r>
        <w:r>
          <w:instrText xml:space="preserve">PAGE   \* MERGEFORMAT</w:instrText>
        </w:r>
        <w:r>
          <w:fldChar w:fldCharType="separate"/>
        </w:r>
        <w:r>
          <w:rPr>
            <w:lang w:val="zh-CN" w:eastAsia="zh-CN"/>
          </w:rPr>
          <w:t>2</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06844245"/>
      <w:docPartObj>
        <w:docPartGallery w:val="AutoText"/>
      </w:docPartObj>
    </w:sdtPr>
    <w:sdtContent>
      <w:p w14:paraId="3DBBB354">
        <w:pPr>
          <w:pStyle w:val="22"/>
          <w:jc w:val="right"/>
        </w:pPr>
        <w:r>
          <w:fldChar w:fldCharType="begin"/>
        </w:r>
        <w:r>
          <w:instrText xml:space="preserve">PAGE   \* MERGEFORMAT</w:instrText>
        </w:r>
        <w:r>
          <w:fldChar w:fldCharType="separate"/>
        </w:r>
        <w:r>
          <w:rPr>
            <w:lang w:val="zh-CN" w:eastAsia="zh-CN"/>
          </w:rPr>
          <w:t>2</w:t>
        </w:r>
        <w: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4095588"/>
      <w:docPartObj>
        <w:docPartGallery w:val="AutoText"/>
      </w:docPartObj>
    </w:sdtPr>
    <w:sdtContent>
      <w:p w14:paraId="0B6D8E05">
        <w:pPr>
          <w:pStyle w:val="22"/>
        </w:pPr>
        <w:r>
          <w:fldChar w:fldCharType="begin"/>
        </w:r>
        <w:r>
          <w:instrText xml:space="preserve">PAGE   \* MERGEFORMAT</w:instrText>
        </w:r>
        <w:r>
          <w:fldChar w:fldCharType="separate"/>
        </w:r>
        <w:r>
          <w:rPr>
            <w:lang w:val="zh-CN" w:eastAsia="zh-CN"/>
          </w:rPr>
          <w:t>2</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806E2">
    <w:pPr>
      <w:pStyle w:val="2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0BCB1">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4DA1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5C6390"/>
    <w:multiLevelType w:val="multilevel"/>
    <w:tmpl w:val="315C6390"/>
    <w:lvl w:ilvl="0" w:tentative="0">
      <w:start w:val="1"/>
      <w:numFmt w:val="decimal"/>
      <w:lvlText w:val="[%1]"/>
      <w:lvlJc w:val="left"/>
      <w:pPr>
        <w:ind w:left="920" w:hanging="440"/>
      </w:pPr>
      <w:rPr>
        <w:rFonts w:hint="eastAsia"/>
      </w:rPr>
    </w:lvl>
    <w:lvl w:ilvl="1" w:tentative="0">
      <w:start w:val="1"/>
      <w:numFmt w:val="decimal"/>
      <w:lvlText w:val="[%2]"/>
      <w:lvlJc w:val="left"/>
      <w:pPr>
        <w:ind w:left="880" w:hanging="440"/>
      </w:pPr>
      <w:rPr>
        <w:rFonts w:hint="eastAsia"/>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7A7"/>
    <w:rsid w:val="00000811"/>
    <w:rsid w:val="000010C3"/>
    <w:rsid w:val="000010CE"/>
    <w:rsid w:val="00001287"/>
    <w:rsid w:val="00001DE2"/>
    <w:rsid w:val="00002392"/>
    <w:rsid w:val="00003307"/>
    <w:rsid w:val="00003E5A"/>
    <w:rsid w:val="000042BA"/>
    <w:rsid w:val="000046A8"/>
    <w:rsid w:val="00004BA8"/>
    <w:rsid w:val="000101E2"/>
    <w:rsid w:val="000115CB"/>
    <w:rsid w:val="00012827"/>
    <w:rsid w:val="00012FA3"/>
    <w:rsid w:val="00013BEA"/>
    <w:rsid w:val="0001467F"/>
    <w:rsid w:val="00014AAA"/>
    <w:rsid w:val="000150BE"/>
    <w:rsid w:val="0001531D"/>
    <w:rsid w:val="000155A5"/>
    <w:rsid w:val="0001606F"/>
    <w:rsid w:val="00016516"/>
    <w:rsid w:val="00016D4D"/>
    <w:rsid w:val="00016F4C"/>
    <w:rsid w:val="00016F59"/>
    <w:rsid w:val="00017FA3"/>
    <w:rsid w:val="00017FA6"/>
    <w:rsid w:val="00020FA0"/>
    <w:rsid w:val="00021B84"/>
    <w:rsid w:val="0002245D"/>
    <w:rsid w:val="00022705"/>
    <w:rsid w:val="00022D08"/>
    <w:rsid w:val="00022F23"/>
    <w:rsid w:val="0002378F"/>
    <w:rsid w:val="00023F35"/>
    <w:rsid w:val="000240D2"/>
    <w:rsid w:val="000240DE"/>
    <w:rsid w:val="0002426A"/>
    <w:rsid w:val="00024CC2"/>
    <w:rsid w:val="00025118"/>
    <w:rsid w:val="00027600"/>
    <w:rsid w:val="00027CA5"/>
    <w:rsid w:val="00027D1E"/>
    <w:rsid w:val="00027ECB"/>
    <w:rsid w:val="000327E2"/>
    <w:rsid w:val="000328EE"/>
    <w:rsid w:val="00032B07"/>
    <w:rsid w:val="00032C4B"/>
    <w:rsid w:val="00032DE5"/>
    <w:rsid w:val="00033891"/>
    <w:rsid w:val="00034A0B"/>
    <w:rsid w:val="00035503"/>
    <w:rsid w:val="00036369"/>
    <w:rsid w:val="000367BA"/>
    <w:rsid w:val="00036D24"/>
    <w:rsid w:val="000376D8"/>
    <w:rsid w:val="00037C99"/>
    <w:rsid w:val="0004008F"/>
    <w:rsid w:val="00040D1C"/>
    <w:rsid w:val="00041FA2"/>
    <w:rsid w:val="000426EC"/>
    <w:rsid w:val="00042EA6"/>
    <w:rsid w:val="00043226"/>
    <w:rsid w:val="000435A7"/>
    <w:rsid w:val="0004388A"/>
    <w:rsid w:val="00045C1F"/>
    <w:rsid w:val="00046D32"/>
    <w:rsid w:val="00050033"/>
    <w:rsid w:val="00050183"/>
    <w:rsid w:val="00050844"/>
    <w:rsid w:val="00050B2C"/>
    <w:rsid w:val="00050DAB"/>
    <w:rsid w:val="00051C3D"/>
    <w:rsid w:val="00052310"/>
    <w:rsid w:val="00052B59"/>
    <w:rsid w:val="00054F7F"/>
    <w:rsid w:val="00055245"/>
    <w:rsid w:val="00055C80"/>
    <w:rsid w:val="00055E77"/>
    <w:rsid w:val="00056244"/>
    <w:rsid w:val="0005640C"/>
    <w:rsid w:val="00056D8A"/>
    <w:rsid w:val="000573F1"/>
    <w:rsid w:val="000603CC"/>
    <w:rsid w:val="0006080B"/>
    <w:rsid w:val="0006089B"/>
    <w:rsid w:val="000624E9"/>
    <w:rsid w:val="00062833"/>
    <w:rsid w:val="000629C7"/>
    <w:rsid w:val="00062C42"/>
    <w:rsid w:val="00063E5E"/>
    <w:rsid w:val="00064115"/>
    <w:rsid w:val="000645D2"/>
    <w:rsid w:val="000655F6"/>
    <w:rsid w:val="00065921"/>
    <w:rsid w:val="0006712D"/>
    <w:rsid w:val="00067511"/>
    <w:rsid w:val="000726F3"/>
    <w:rsid w:val="0007451A"/>
    <w:rsid w:val="00075043"/>
    <w:rsid w:val="000752BF"/>
    <w:rsid w:val="0007548B"/>
    <w:rsid w:val="00075D3F"/>
    <w:rsid w:val="000763A5"/>
    <w:rsid w:val="0007647F"/>
    <w:rsid w:val="000800AE"/>
    <w:rsid w:val="000801C2"/>
    <w:rsid w:val="0008144F"/>
    <w:rsid w:val="00082569"/>
    <w:rsid w:val="0008292E"/>
    <w:rsid w:val="00083246"/>
    <w:rsid w:val="00083280"/>
    <w:rsid w:val="00083DC4"/>
    <w:rsid w:val="000845E2"/>
    <w:rsid w:val="00085281"/>
    <w:rsid w:val="000853BD"/>
    <w:rsid w:val="000858ED"/>
    <w:rsid w:val="00085D5A"/>
    <w:rsid w:val="00085E69"/>
    <w:rsid w:val="00085E92"/>
    <w:rsid w:val="0008619C"/>
    <w:rsid w:val="000867BA"/>
    <w:rsid w:val="000868C3"/>
    <w:rsid w:val="00087467"/>
    <w:rsid w:val="000907C0"/>
    <w:rsid w:val="00090D04"/>
    <w:rsid w:val="000916CD"/>
    <w:rsid w:val="0009175A"/>
    <w:rsid w:val="00092771"/>
    <w:rsid w:val="0009366F"/>
    <w:rsid w:val="00093883"/>
    <w:rsid w:val="000947D4"/>
    <w:rsid w:val="000948D5"/>
    <w:rsid w:val="0009494F"/>
    <w:rsid w:val="0009536D"/>
    <w:rsid w:val="0009615F"/>
    <w:rsid w:val="00097607"/>
    <w:rsid w:val="000979DD"/>
    <w:rsid w:val="00097F8E"/>
    <w:rsid w:val="000A03E3"/>
    <w:rsid w:val="000A04BD"/>
    <w:rsid w:val="000A152E"/>
    <w:rsid w:val="000A3DB5"/>
    <w:rsid w:val="000A3FD5"/>
    <w:rsid w:val="000A463C"/>
    <w:rsid w:val="000A4FA2"/>
    <w:rsid w:val="000A55A2"/>
    <w:rsid w:val="000A6392"/>
    <w:rsid w:val="000A65D2"/>
    <w:rsid w:val="000A6B69"/>
    <w:rsid w:val="000A7A83"/>
    <w:rsid w:val="000A7CBE"/>
    <w:rsid w:val="000B0DE3"/>
    <w:rsid w:val="000B106C"/>
    <w:rsid w:val="000B1F20"/>
    <w:rsid w:val="000B2B80"/>
    <w:rsid w:val="000B3A58"/>
    <w:rsid w:val="000B499C"/>
    <w:rsid w:val="000B55BC"/>
    <w:rsid w:val="000B7849"/>
    <w:rsid w:val="000C0970"/>
    <w:rsid w:val="000C11DC"/>
    <w:rsid w:val="000C1293"/>
    <w:rsid w:val="000C1416"/>
    <w:rsid w:val="000C18E5"/>
    <w:rsid w:val="000C2000"/>
    <w:rsid w:val="000C204B"/>
    <w:rsid w:val="000C298A"/>
    <w:rsid w:val="000C2F84"/>
    <w:rsid w:val="000C3B7B"/>
    <w:rsid w:val="000C3F50"/>
    <w:rsid w:val="000C42B2"/>
    <w:rsid w:val="000C43C7"/>
    <w:rsid w:val="000C48B4"/>
    <w:rsid w:val="000C563F"/>
    <w:rsid w:val="000C5B47"/>
    <w:rsid w:val="000C604F"/>
    <w:rsid w:val="000C60DF"/>
    <w:rsid w:val="000C691C"/>
    <w:rsid w:val="000D00F5"/>
    <w:rsid w:val="000D0270"/>
    <w:rsid w:val="000D083E"/>
    <w:rsid w:val="000D0D49"/>
    <w:rsid w:val="000D0E8F"/>
    <w:rsid w:val="000D0F68"/>
    <w:rsid w:val="000D359B"/>
    <w:rsid w:val="000D4525"/>
    <w:rsid w:val="000D46EC"/>
    <w:rsid w:val="000D4E0E"/>
    <w:rsid w:val="000D5DED"/>
    <w:rsid w:val="000D68CF"/>
    <w:rsid w:val="000E0653"/>
    <w:rsid w:val="000E066C"/>
    <w:rsid w:val="000E0F14"/>
    <w:rsid w:val="000E1B50"/>
    <w:rsid w:val="000E1C63"/>
    <w:rsid w:val="000E2303"/>
    <w:rsid w:val="000E252D"/>
    <w:rsid w:val="000E2DE8"/>
    <w:rsid w:val="000E2EC5"/>
    <w:rsid w:val="000E30A3"/>
    <w:rsid w:val="000E3734"/>
    <w:rsid w:val="000E3E19"/>
    <w:rsid w:val="000E3FE8"/>
    <w:rsid w:val="000E5CEB"/>
    <w:rsid w:val="000F0BA8"/>
    <w:rsid w:val="000F12A2"/>
    <w:rsid w:val="000F148C"/>
    <w:rsid w:val="000F18F7"/>
    <w:rsid w:val="000F203D"/>
    <w:rsid w:val="000F2E25"/>
    <w:rsid w:val="000F316C"/>
    <w:rsid w:val="000F385A"/>
    <w:rsid w:val="000F3BB7"/>
    <w:rsid w:val="000F4E60"/>
    <w:rsid w:val="000F5981"/>
    <w:rsid w:val="000F705C"/>
    <w:rsid w:val="000F7068"/>
    <w:rsid w:val="000F73E4"/>
    <w:rsid w:val="000F77C2"/>
    <w:rsid w:val="000F7D24"/>
    <w:rsid w:val="0010021A"/>
    <w:rsid w:val="001003F3"/>
    <w:rsid w:val="00101215"/>
    <w:rsid w:val="00101399"/>
    <w:rsid w:val="00101570"/>
    <w:rsid w:val="001015F5"/>
    <w:rsid w:val="0010160B"/>
    <w:rsid w:val="0010169C"/>
    <w:rsid w:val="00101787"/>
    <w:rsid w:val="00101DC1"/>
    <w:rsid w:val="00103243"/>
    <w:rsid w:val="001033CC"/>
    <w:rsid w:val="00103628"/>
    <w:rsid w:val="00103770"/>
    <w:rsid w:val="00105800"/>
    <w:rsid w:val="00105D2A"/>
    <w:rsid w:val="001062C8"/>
    <w:rsid w:val="00106C9A"/>
    <w:rsid w:val="00106E2A"/>
    <w:rsid w:val="0011034A"/>
    <w:rsid w:val="00110C99"/>
    <w:rsid w:val="001114A8"/>
    <w:rsid w:val="00111A81"/>
    <w:rsid w:val="00111ADF"/>
    <w:rsid w:val="00111D02"/>
    <w:rsid w:val="001125D7"/>
    <w:rsid w:val="00112C52"/>
    <w:rsid w:val="00112DDD"/>
    <w:rsid w:val="0011390E"/>
    <w:rsid w:val="001139B6"/>
    <w:rsid w:val="00113DA9"/>
    <w:rsid w:val="001141BA"/>
    <w:rsid w:val="00114A54"/>
    <w:rsid w:val="00116566"/>
    <w:rsid w:val="00120B9C"/>
    <w:rsid w:val="001216B6"/>
    <w:rsid w:val="00121C88"/>
    <w:rsid w:val="0012203D"/>
    <w:rsid w:val="0012291C"/>
    <w:rsid w:val="00122B7D"/>
    <w:rsid w:val="001262E7"/>
    <w:rsid w:val="001301C1"/>
    <w:rsid w:val="001302C5"/>
    <w:rsid w:val="00130337"/>
    <w:rsid w:val="001303FB"/>
    <w:rsid w:val="00130A77"/>
    <w:rsid w:val="00130F19"/>
    <w:rsid w:val="001312EA"/>
    <w:rsid w:val="001313BC"/>
    <w:rsid w:val="0013191A"/>
    <w:rsid w:val="00131A0C"/>
    <w:rsid w:val="00132FED"/>
    <w:rsid w:val="00133902"/>
    <w:rsid w:val="001339BF"/>
    <w:rsid w:val="0013428C"/>
    <w:rsid w:val="0013437A"/>
    <w:rsid w:val="00134540"/>
    <w:rsid w:val="00135C11"/>
    <w:rsid w:val="00135F05"/>
    <w:rsid w:val="00136938"/>
    <w:rsid w:val="00136AD7"/>
    <w:rsid w:val="00136B57"/>
    <w:rsid w:val="001417F7"/>
    <w:rsid w:val="00141F0F"/>
    <w:rsid w:val="0014201B"/>
    <w:rsid w:val="0014224E"/>
    <w:rsid w:val="00144412"/>
    <w:rsid w:val="00144538"/>
    <w:rsid w:val="001447D6"/>
    <w:rsid w:val="0014480E"/>
    <w:rsid w:val="00145E19"/>
    <w:rsid w:val="00145F56"/>
    <w:rsid w:val="00146535"/>
    <w:rsid w:val="001470B8"/>
    <w:rsid w:val="001500C6"/>
    <w:rsid w:val="0015068C"/>
    <w:rsid w:val="00150A4E"/>
    <w:rsid w:val="00150AE9"/>
    <w:rsid w:val="001514AC"/>
    <w:rsid w:val="00151CF0"/>
    <w:rsid w:val="00151ECD"/>
    <w:rsid w:val="00152476"/>
    <w:rsid w:val="00153074"/>
    <w:rsid w:val="00153E22"/>
    <w:rsid w:val="0015469C"/>
    <w:rsid w:val="00154814"/>
    <w:rsid w:val="00154E4D"/>
    <w:rsid w:val="00155882"/>
    <w:rsid w:val="00157F10"/>
    <w:rsid w:val="00160803"/>
    <w:rsid w:val="00160AF1"/>
    <w:rsid w:val="001623D5"/>
    <w:rsid w:val="00162700"/>
    <w:rsid w:val="001634F0"/>
    <w:rsid w:val="00164A7F"/>
    <w:rsid w:val="00164DEB"/>
    <w:rsid w:val="00164E4A"/>
    <w:rsid w:val="00165DF6"/>
    <w:rsid w:val="001669C1"/>
    <w:rsid w:val="00166E60"/>
    <w:rsid w:val="001671FF"/>
    <w:rsid w:val="00167571"/>
    <w:rsid w:val="001701A9"/>
    <w:rsid w:val="00171155"/>
    <w:rsid w:val="001714E8"/>
    <w:rsid w:val="0017158B"/>
    <w:rsid w:val="001715F2"/>
    <w:rsid w:val="0017204E"/>
    <w:rsid w:val="00172D21"/>
    <w:rsid w:val="00173B45"/>
    <w:rsid w:val="001748F0"/>
    <w:rsid w:val="001749CE"/>
    <w:rsid w:val="00175ECC"/>
    <w:rsid w:val="00176589"/>
    <w:rsid w:val="00176AC3"/>
    <w:rsid w:val="0017795A"/>
    <w:rsid w:val="001779D4"/>
    <w:rsid w:val="00177DE6"/>
    <w:rsid w:val="00180349"/>
    <w:rsid w:val="00180869"/>
    <w:rsid w:val="00181CA6"/>
    <w:rsid w:val="00181D16"/>
    <w:rsid w:val="00182094"/>
    <w:rsid w:val="001822B7"/>
    <w:rsid w:val="00182A02"/>
    <w:rsid w:val="00182EFD"/>
    <w:rsid w:val="001832B6"/>
    <w:rsid w:val="0018356B"/>
    <w:rsid w:val="00183BA1"/>
    <w:rsid w:val="00186190"/>
    <w:rsid w:val="001871E6"/>
    <w:rsid w:val="001878E7"/>
    <w:rsid w:val="00187CAB"/>
    <w:rsid w:val="00190089"/>
    <w:rsid w:val="00190CF1"/>
    <w:rsid w:val="00191AA8"/>
    <w:rsid w:val="00191E01"/>
    <w:rsid w:val="00192686"/>
    <w:rsid w:val="00193808"/>
    <w:rsid w:val="00194550"/>
    <w:rsid w:val="001947A7"/>
    <w:rsid w:val="001949A6"/>
    <w:rsid w:val="00194B36"/>
    <w:rsid w:val="0019529C"/>
    <w:rsid w:val="0019536E"/>
    <w:rsid w:val="00195897"/>
    <w:rsid w:val="00195A2B"/>
    <w:rsid w:val="00196268"/>
    <w:rsid w:val="00196346"/>
    <w:rsid w:val="00196478"/>
    <w:rsid w:val="001965D8"/>
    <w:rsid w:val="001965E3"/>
    <w:rsid w:val="00196929"/>
    <w:rsid w:val="001969C5"/>
    <w:rsid w:val="00197795"/>
    <w:rsid w:val="001A03E7"/>
    <w:rsid w:val="001A14B5"/>
    <w:rsid w:val="001A1B76"/>
    <w:rsid w:val="001A1BC0"/>
    <w:rsid w:val="001A321F"/>
    <w:rsid w:val="001A3BDC"/>
    <w:rsid w:val="001A447F"/>
    <w:rsid w:val="001A49F5"/>
    <w:rsid w:val="001A4D3A"/>
    <w:rsid w:val="001A53A7"/>
    <w:rsid w:val="001A545A"/>
    <w:rsid w:val="001A588C"/>
    <w:rsid w:val="001A6533"/>
    <w:rsid w:val="001A6C77"/>
    <w:rsid w:val="001A7069"/>
    <w:rsid w:val="001A7F85"/>
    <w:rsid w:val="001B0307"/>
    <w:rsid w:val="001B0766"/>
    <w:rsid w:val="001B0CF5"/>
    <w:rsid w:val="001B109B"/>
    <w:rsid w:val="001B19A8"/>
    <w:rsid w:val="001B232A"/>
    <w:rsid w:val="001B2442"/>
    <w:rsid w:val="001B2ED2"/>
    <w:rsid w:val="001B353A"/>
    <w:rsid w:val="001B50B3"/>
    <w:rsid w:val="001B5208"/>
    <w:rsid w:val="001B5973"/>
    <w:rsid w:val="001B59FF"/>
    <w:rsid w:val="001B6F5D"/>
    <w:rsid w:val="001B6F67"/>
    <w:rsid w:val="001C07F8"/>
    <w:rsid w:val="001C14BD"/>
    <w:rsid w:val="001C1D0F"/>
    <w:rsid w:val="001C2030"/>
    <w:rsid w:val="001C2542"/>
    <w:rsid w:val="001C266D"/>
    <w:rsid w:val="001C2C62"/>
    <w:rsid w:val="001C2D8B"/>
    <w:rsid w:val="001C3627"/>
    <w:rsid w:val="001C403D"/>
    <w:rsid w:val="001C4508"/>
    <w:rsid w:val="001C4A3E"/>
    <w:rsid w:val="001C4A7A"/>
    <w:rsid w:val="001C51D0"/>
    <w:rsid w:val="001C5595"/>
    <w:rsid w:val="001C5C09"/>
    <w:rsid w:val="001C5F65"/>
    <w:rsid w:val="001C6C24"/>
    <w:rsid w:val="001C6C28"/>
    <w:rsid w:val="001C7115"/>
    <w:rsid w:val="001C783C"/>
    <w:rsid w:val="001D0179"/>
    <w:rsid w:val="001D056B"/>
    <w:rsid w:val="001D0659"/>
    <w:rsid w:val="001D1517"/>
    <w:rsid w:val="001D1523"/>
    <w:rsid w:val="001D15A1"/>
    <w:rsid w:val="001D1861"/>
    <w:rsid w:val="001D21A6"/>
    <w:rsid w:val="001D21C3"/>
    <w:rsid w:val="001D27F3"/>
    <w:rsid w:val="001D2A55"/>
    <w:rsid w:val="001D37DF"/>
    <w:rsid w:val="001D455D"/>
    <w:rsid w:val="001D57E0"/>
    <w:rsid w:val="001D6025"/>
    <w:rsid w:val="001D7365"/>
    <w:rsid w:val="001D76D1"/>
    <w:rsid w:val="001D7E4C"/>
    <w:rsid w:val="001E06AB"/>
    <w:rsid w:val="001E2AB4"/>
    <w:rsid w:val="001E3713"/>
    <w:rsid w:val="001E41E2"/>
    <w:rsid w:val="001E447E"/>
    <w:rsid w:val="001E4491"/>
    <w:rsid w:val="001E4559"/>
    <w:rsid w:val="001E4E6F"/>
    <w:rsid w:val="001E58B8"/>
    <w:rsid w:val="001E6594"/>
    <w:rsid w:val="001E65C9"/>
    <w:rsid w:val="001E6A44"/>
    <w:rsid w:val="001E74C0"/>
    <w:rsid w:val="001F02BF"/>
    <w:rsid w:val="001F08AC"/>
    <w:rsid w:val="001F0AA2"/>
    <w:rsid w:val="001F137F"/>
    <w:rsid w:val="001F3372"/>
    <w:rsid w:val="001F4084"/>
    <w:rsid w:val="001F4FE4"/>
    <w:rsid w:val="001F66E3"/>
    <w:rsid w:val="001F6B64"/>
    <w:rsid w:val="001F7062"/>
    <w:rsid w:val="001F785A"/>
    <w:rsid w:val="001F7A5B"/>
    <w:rsid w:val="00200171"/>
    <w:rsid w:val="002009AA"/>
    <w:rsid w:val="00200BFE"/>
    <w:rsid w:val="00200FB6"/>
    <w:rsid w:val="00201005"/>
    <w:rsid w:val="00201032"/>
    <w:rsid w:val="0020113F"/>
    <w:rsid w:val="00201B85"/>
    <w:rsid w:val="00201EBE"/>
    <w:rsid w:val="0020262B"/>
    <w:rsid w:val="00203028"/>
    <w:rsid w:val="00203125"/>
    <w:rsid w:val="002031F1"/>
    <w:rsid w:val="00203EF6"/>
    <w:rsid w:val="00204032"/>
    <w:rsid w:val="002041E2"/>
    <w:rsid w:val="002045C9"/>
    <w:rsid w:val="00204A5B"/>
    <w:rsid w:val="0020645D"/>
    <w:rsid w:val="00206BB0"/>
    <w:rsid w:val="00207EF9"/>
    <w:rsid w:val="002101F5"/>
    <w:rsid w:val="00210C42"/>
    <w:rsid w:val="00211E34"/>
    <w:rsid w:val="0021253A"/>
    <w:rsid w:val="0021274D"/>
    <w:rsid w:val="00212B05"/>
    <w:rsid w:val="00213194"/>
    <w:rsid w:val="00213229"/>
    <w:rsid w:val="0021379C"/>
    <w:rsid w:val="002138B9"/>
    <w:rsid w:val="0021428C"/>
    <w:rsid w:val="0021452B"/>
    <w:rsid w:val="00216A89"/>
    <w:rsid w:val="00217691"/>
    <w:rsid w:val="00217B43"/>
    <w:rsid w:val="00220642"/>
    <w:rsid w:val="00220EC9"/>
    <w:rsid w:val="002213DE"/>
    <w:rsid w:val="0022205E"/>
    <w:rsid w:val="002220DA"/>
    <w:rsid w:val="0022228A"/>
    <w:rsid w:val="002225EC"/>
    <w:rsid w:val="00222AAD"/>
    <w:rsid w:val="00222B51"/>
    <w:rsid w:val="0022398B"/>
    <w:rsid w:val="00223FD4"/>
    <w:rsid w:val="002256F6"/>
    <w:rsid w:val="00226CF0"/>
    <w:rsid w:val="002279A4"/>
    <w:rsid w:val="00227ED1"/>
    <w:rsid w:val="00230860"/>
    <w:rsid w:val="0023098C"/>
    <w:rsid w:val="00231180"/>
    <w:rsid w:val="002317F4"/>
    <w:rsid w:val="002320A1"/>
    <w:rsid w:val="0023214B"/>
    <w:rsid w:val="0023227C"/>
    <w:rsid w:val="00232464"/>
    <w:rsid w:val="00232AA1"/>
    <w:rsid w:val="00234571"/>
    <w:rsid w:val="00235263"/>
    <w:rsid w:val="0023539C"/>
    <w:rsid w:val="00235843"/>
    <w:rsid w:val="002359BB"/>
    <w:rsid w:val="0023694E"/>
    <w:rsid w:val="00237CD0"/>
    <w:rsid w:val="002407C7"/>
    <w:rsid w:val="00240ED1"/>
    <w:rsid w:val="00241660"/>
    <w:rsid w:val="0024319E"/>
    <w:rsid w:val="00243C5F"/>
    <w:rsid w:val="00244658"/>
    <w:rsid w:val="002449F1"/>
    <w:rsid w:val="002450CF"/>
    <w:rsid w:val="00245572"/>
    <w:rsid w:val="002458A5"/>
    <w:rsid w:val="00245C34"/>
    <w:rsid w:val="00245F0A"/>
    <w:rsid w:val="0024611E"/>
    <w:rsid w:val="0024653A"/>
    <w:rsid w:val="0024686D"/>
    <w:rsid w:val="002472ED"/>
    <w:rsid w:val="002476F6"/>
    <w:rsid w:val="00251828"/>
    <w:rsid w:val="0025211A"/>
    <w:rsid w:val="00254DBE"/>
    <w:rsid w:val="00254FAE"/>
    <w:rsid w:val="00256308"/>
    <w:rsid w:val="002563A5"/>
    <w:rsid w:val="00256B49"/>
    <w:rsid w:val="002572DC"/>
    <w:rsid w:val="002573C0"/>
    <w:rsid w:val="002578A5"/>
    <w:rsid w:val="00257A13"/>
    <w:rsid w:val="00257C5E"/>
    <w:rsid w:val="00260197"/>
    <w:rsid w:val="002612ED"/>
    <w:rsid w:val="00261C0C"/>
    <w:rsid w:val="00261E74"/>
    <w:rsid w:val="00262668"/>
    <w:rsid w:val="002627B2"/>
    <w:rsid w:val="00263125"/>
    <w:rsid w:val="00263531"/>
    <w:rsid w:val="00263DAA"/>
    <w:rsid w:val="002644BA"/>
    <w:rsid w:val="00264537"/>
    <w:rsid w:val="0026504D"/>
    <w:rsid w:val="002656D1"/>
    <w:rsid w:val="00266349"/>
    <w:rsid w:val="002672F8"/>
    <w:rsid w:val="002674AE"/>
    <w:rsid w:val="002711C4"/>
    <w:rsid w:val="00272097"/>
    <w:rsid w:val="00273905"/>
    <w:rsid w:val="0027392B"/>
    <w:rsid w:val="00273B84"/>
    <w:rsid w:val="00273E2F"/>
    <w:rsid w:val="00274369"/>
    <w:rsid w:val="002744B3"/>
    <w:rsid w:val="00274555"/>
    <w:rsid w:val="00274A90"/>
    <w:rsid w:val="00275861"/>
    <w:rsid w:val="002762CD"/>
    <w:rsid w:val="00276661"/>
    <w:rsid w:val="00276992"/>
    <w:rsid w:val="0027718B"/>
    <w:rsid w:val="00277D38"/>
    <w:rsid w:val="00280472"/>
    <w:rsid w:val="002804B9"/>
    <w:rsid w:val="00281320"/>
    <w:rsid w:val="00281C9E"/>
    <w:rsid w:val="002823F0"/>
    <w:rsid w:val="002825DE"/>
    <w:rsid w:val="0028297A"/>
    <w:rsid w:val="00282BC7"/>
    <w:rsid w:val="00282BEB"/>
    <w:rsid w:val="002830CB"/>
    <w:rsid w:val="00284649"/>
    <w:rsid w:val="00285C9B"/>
    <w:rsid w:val="00287E3A"/>
    <w:rsid w:val="0029159C"/>
    <w:rsid w:val="00291936"/>
    <w:rsid w:val="00291B09"/>
    <w:rsid w:val="00291BC2"/>
    <w:rsid w:val="0029212F"/>
    <w:rsid w:val="00292933"/>
    <w:rsid w:val="00292C4D"/>
    <w:rsid w:val="00293281"/>
    <w:rsid w:val="00294AA3"/>
    <w:rsid w:val="00294CD4"/>
    <w:rsid w:val="00295C81"/>
    <w:rsid w:val="00295FA1"/>
    <w:rsid w:val="00296127"/>
    <w:rsid w:val="00296348"/>
    <w:rsid w:val="00296971"/>
    <w:rsid w:val="00296EE9"/>
    <w:rsid w:val="00297247"/>
    <w:rsid w:val="002A0162"/>
    <w:rsid w:val="002A0750"/>
    <w:rsid w:val="002A09CB"/>
    <w:rsid w:val="002A0B88"/>
    <w:rsid w:val="002A2159"/>
    <w:rsid w:val="002A2EB5"/>
    <w:rsid w:val="002A3189"/>
    <w:rsid w:val="002A31D9"/>
    <w:rsid w:val="002A4061"/>
    <w:rsid w:val="002A42C0"/>
    <w:rsid w:val="002A6813"/>
    <w:rsid w:val="002A6F05"/>
    <w:rsid w:val="002A7F98"/>
    <w:rsid w:val="002B09E9"/>
    <w:rsid w:val="002B0E2B"/>
    <w:rsid w:val="002B0F88"/>
    <w:rsid w:val="002B1356"/>
    <w:rsid w:val="002B1876"/>
    <w:rsid w:val="002B2F3E"/>
    <w:rsid w:val="002B3508"/>
    <w:rsid w:val="002B3539"/>
    <w:rsid w:val="002B4740"/>
    <w:rsid w:val="002B4B38"/>
    <w:rsid w:val="002B4EED"/>
    <w:rsid w:val="002B4F0B"/>
    <w:rsid w:val="002B4F64"/>
    <w:rsid w:val="002B5182"/>
    <w:rsid w:val="002B6400"/>
    <w:rsid w:val="002B7909"/>
    <w:rsid w:val="002C089F"/>
    <w:rsid w:val="002C0F83"/>
    <w:rsid w:val="002C13D2"/>
    <w:rsid w:val="002C200E"/>
    <w:rsid w:val="002C2ADD"/>
    <w:rsid w:val="002C42D7"/>
    <w:rsid w:val="002C448D"/>
    <w:rsid w:val="002C46D3"/>
    <w:rsid w:val="002C4BF1"/>
    <w:rsid w:val="002C5D52"/>
    <w:rsid w:val="002C697F"/>
    <w:rsid w:val="002C6DCB"/>
    <w:rsid w:val="002D0283"/>
    <w:rsid w:val="002D0728"/>
    <w:rsid w:val="002D22C0"/>
    <w:rsid w:val="002D27E2"/>
    <w:rsid w:val="002D391F"/>
    <w:rsid w:val="002D4819"/>
    <w:rsid w:val="002D4E98"/>
    <w:rsid w:val="002D5065"/>
    <w:rsid w:val="002D52AA"/>
    <w:rsid w:val="002D5477"/>
    <w:rsid w:val="002D622E"/>
    <w:rsid w:val="002D6562"/>
    <w:rsid w:val="002D66F9"/>
    <w:rsid w:val="002D6869"/>
    <w:rsid w:val="002D7B70"/>
    <w:rsid w:val="002E0917"/>
    <w:rsid w:val="002E2458"/>
    <w:rsid w:val="002E2C36"/>
    <w:rsid w:val="002E319F"/>
    <w:rsid w:val="002E44CA"/>
    <w:rsid w:val="002E4E6D"/>
    <w:rsid w:val="002E60B2"/>
    <w:rsid w:val="002E72E9"/>
    <w:rsid w:val="002F0E33"/>
    <w:rsid w:val="002F154E"/>
    <w:rsid w:val="002F2225"/>
    <w:rsid w:val="002F22AA"/>
    <w:rsid w:val="002F3251"/>
    <w:rsid w:val="002F4E9E"/>
    <w:rsid w:val="002F5DED"/>
    <w:rsid w:val="002F687A"/>
    <w:rsid w:val="002F6D8C"/>
    <w:rsid w:val="002F73D9"/>
    <w:rsid w:val="002F7494"/>
    <w:rsid w:val="0030069B"/>
    <w:rsid w:val="003015C5"/>
    <w:rsid w:val="003021E6"/>
    <w:rsid w:val="00304477"/>
    <w:rsid w:val="00304A63"/>
    <w:rsid w:val="00304F9C"/>
    <w:rsid w:val="00305222"/>
    <w:rsid w:val="00305DC9"/>
    <w:rsid w:val="0030693E"/>
    <w:rsid w:val="003105CC"/>
    <w:rsid w:val="00311227"/>
    <w:rsid w:val="003120FD"/>
    <w:rsid w:val="00312CCD"/>
    <w:rsid w:val="00312DE8"/>
    <w:rsid w:val="00312EC1"/>
    <w:rsid w:val="00312EF3"/>
    <w:rsid w:val="00313A22"/>
    <w:rsid w:val="00313DD8"/>
    <w:rsid w:val="00313F73"/>
    <w:rsid w:val="00313F94"/>
    <w:rsid w:val="00314E4C"/>
    <w:rsid w:val="00314E75"/>
    <w:rsid w:val="00315049"/>
    <w:rsid w:val="00315384"/>
    <w:rsid w:val="00315520"/>
    <w:rsid w:val="003156EC"/>
    <w:rsid w:val="00315A62"/>
    <w:rsid w:val="003161D2"/>
    <w:rsid w:val="0031779E"/>
    <w:rsid w:val="00317A0A"/>
    <w:rsid w:val="00321554"/>
    <w:rsid w:val="003219C5"/>
    <w:rsid w:val="0032215F"/>
    <w:rsid w:val="003222CB"/>
    <w:rsid w:val="0032374A"/>
    <w:rsid w:val="003238F6"/>
    <w:rsid w:val="003264AC"/>
    <w:rsid w:val="00326ACC"/>
    <w:rsid w:val="003270D3"/>
    <w:rsid w:val="00330180"/>
    <w:rsid w:val="0033033F"/>
    <w:rsid w:val="0033096A"/>
    <w:rsid w:val="003313DF"/>
    <w:rsid w:val="00333D2D"/>
    <w:rsid w:val="00334EE8"/>
    <w:rsid w:val="00335BDA"/>
    <w:rsid w:val="00335E52"/>
    <w:rsid w:val="00336650"/>
    <w:rsid w:val="0033720B"/>
    <w:rsid w:val="00340721"/>
    <w:rsid w:val="00340DC9"/>
    <w:rsid w:val="00341015"/>
    <w:rsid w:val="00341E03"/>
    <w:rsid w:val="00342BFF"/>
    <w:rsid w:val="003432D6"/>
    <w:rsid w:val="00343431"/>
    <w:rsid w:val="00344945"/>
    <w:rsid w:val="00344D25"/>
    <w:rsid w:val="003453E0"/>
    <w:rsid w:val="003465A1"/>
    <w:rsid w:val="003466A2"/>
    <w:rsid w:val="0034686C"/>
    <w:rsid w:val="003505D5"/>
    <w:rsid w:val="00351966"/>
    <w:rsid w:val="00351FB6"/>
    <w:rsid w:val="003532FA"/>
    <w:rsid w:val="00354F62"/>
    <w:rsid w:val="00355DF9"/>
    <w:rsid w:val="00355E07"/>
    <w:rsid w:val="00356252"/>
    <w:rsid w:val="00356520"/>
    <w:rsid w:val="00356733"/>
    <w:rsid w:val="0036029A"/>
    <w:rsid w:val="0036111C"/>
    <w:rsid w:val="00361778"/>
    <w:rsid w:val="003623B1"/>
    <w:rsid w:val="00362913"/>
    <w:rsid w:val="0036380B"/>
    <w:rsid w:val="00364266"/>
    <w:rsid w:val="00364A9E"/>
    <w:rsid w:val="0036756C"/>
    <w:rsid w:val="003675A6"/>
    <w:rsid w:val="00367927"/>
    <w:rsid w:val="00367A8B"/>
    <w:rsid w:val="00370EA4"/>
    <w:rsid w:val="00371E8D"/>
    <w:rsid w:val="00374BBE"/>
    <w:rsid w:val="003752BC"/>
    <w:rsid w:val="00375A28"/>
    <w:rsid w:val="0037618E"/>
    <w:rsid w:val="00376643"/>
    <w:rsid w:val="00377498"/>
    <w:rsid w:val="00377A84"/>
    <w:rsid w:val="003803CD"/>
    <w:rsid w:val="00380840"/>
    <w:rsid w:val="003809D1"/>
    <w:rsid w:val="00381272"/>
    <w:rsid w:val="003813E9"/>
    <w:rsid w:val="00381DC1"/>
    <w:rsid w:val="00382409"/>
    <w:rsid w:val="00382710"/>
    <w:rsid w:val="00383783"/>
    <w:rsid w:val="00383A7A"/>
    <w:rsid w:val="00384529"/>
    <w:rsid w:val="003846FF"/>
    <w:rsid w:val="00384C72"/>
    <w:rsid w:val="0038552F"/>
    <w:rsid w:val="00386B51"/>
    <w:rsid w:val="00386C17"/>
    <w:rsid w:val="003871FA"/>
    <w:rsid w:val="00387942"/>
    <w:rsid w:val="00387C2F"/>
    <w:rsid w:val="0039059D"/>
    <w:rsid w:val="00390944"/>
    <w:rsid w:val="00390A31"/>
    <w:rsid w:val="00390FD5"/>
    <w:rsid w:val="00391FEA"/>
    <w:rsid w:val="00392610"/>
    <w:rsid w:val="00393B04"/>
    <w:rsid w:val="003946A6"/>
    <w:rsid w:val="00395509"/>
    <w:rsid w:val="0039660F"/>
    <w:rsid w:val="003978CB"/>
    <w:rsid w:val="00397B4A"/>
    <w:rsid w:val="003A0029"/>
    <w:rsid w:val="003A04EC"/>
    <w:rsid w:val="003A0BA5"/>
    <w:rsid w:val="003A123D"/>
    <w:rsid w:val="003A1792"/>
    <w:rsid w:val="003A21F9"/>
    <w:rsid w:val="003A2432"/>
    <w:rsid w:val="003A2689"/>
    <w:rsid w:val="003A2A96"/>
    <w:rsid w:val="003A2BE3"/>
    <w:rsid w:val="003A2C6B"/>
    <w:rsid w:val="003A383C"/>
    <w:rsid w:val="003A3C1B"/>
    <w:rsid w:val="003A3F47"/>
    <w:rsid w:val="003A425C"/>
    <w:rsid w:val="003A5266"/>
    <w:rsid w:val="003A52A2"/>
    <w:rsid w:val="003A5B14"/>
    <w:rsid w:val="003A5B4F"/>
    <w:rsid w:val="003A602E"/>
    <w:rsid w:val="003A6742"/>
    <w:rsid w:val="003A7072"/>
    <w:rsid w:val="003A721B"/>
    <w:rsid w:val="003A75BB"/>
    <w:rsid w:val="003B048D"/>
    <w:rsid w:val="003B066A"/>
    <w:rsid w:val="003B0F1E"/>
    <w:rsid w:val="003B14F4"/>
    <w:rsid w:val="003B179E"/>
    <w:rsid w:val="003B3576"/>
    <w:rsid w:val="003B38BC"/>
    <w:rsid w:val="003B39D5"/>
    <w:rsid w:val="003B3D00"/>
    <w:rsid w:val="003B46AA"/>
    <w:rsid w:val="003B4AA1"/>
    <w:rsid w:val="003B4C54"/>
    <w:rsid w:val="003B68DB"/>
    <w:rsid w:val="003B7B7C"/>
    <w:rsid w:val="003C027B"/>
    <w:rsid w:val="003C08BC"/>
    <w:rsid w:val="003C1939"/>
    <w:rsid w:val="003C2083"/>
    <w:rsid w:val="003C2486"/>
    <w:rsid w:val="003C30F5"/>
    <w:rsid w:val="003C321B"/>
    <w:rsid w:val="003C4178"/>
    <w:rsid w:val="003C5327"/>
    <w:rsid w:val="003C6386"/>
    <w:rsid w:val="003C7816"/>
    <w:rsid w:val="003C79B2"/>
    <w:rsid w:val="003C7E5A"/>
    <w:rsid w:val="003D11B9"/>
    <w:rsid w:val="003D16BA"/>
    <w:rsid w:val="003D4CBE"/>
    <w:rsid w:val="003D4D70"/>
    <w:rsid w:val="003D50D8"/>
    <w:rsid w:val="003D52D4"/>
    <w:rsid w:val="003D61AE"/>
    <w:rsid w:val="003D6743"/>
    <w:rsid w:val="003D67D0"/>
    <w:rsid w:val="003D6B35"/>
    <w:rsid w:val="003D7B3D"/>
    <w:rsid w:val="003E0067"/>
    <w:rsid w:val="003E009F"/>
    <w:rsid w:val="003E0131"/>
    <w:rsid w:val="003E0196"/>
    <w:rsid w:val="003E0CFF"/>
    <w:rsid w:val="003E1271"/>
    <w:rsid w:val="003E1B34"/>
    <w:rsid w:val="003E2C8D"/>
    <w:rsid w:val="003E33DB"/>
    <w:rsid w:val="003E39F3"/>
    <w:rsid w:val="003E431F"/>
    <w:rsid w:val="003E4A3D"/>
    <w:rsid w:val="003E4F41"/>
    <w:rsid w:val="003E5160"/>
    <w:rsid w:val="003E5A9D"/>
    <w:rsid w:val="003E64BD"/>
    <w:rsid w:val="003E6732"/>
    <w:rsid w:val="003E79AC"/>
    <w:rsid w:val="003F026F"/>
    <w:rsid w:val="003F02F0"/>
    <w:rsid w:val="003F038B"/>
    <w:rsid w:val="003F0C31"/>
    <w:rsid w:val="003F0D10"/>
    <w:rsid w:val="003F1169"/>
    <w:rsid w:val="003F271C"/>
    <w:rsid w:val="003F2A9B"/>
    <w:rsid w:val="003F2BAE"/>
    <w:rsid w:val="003F2EF1"/>
    <w:rsid w:val="003F2FCE"/>
    <w:rsid w:val="003F3430"/>
    <w:rsid w:val="003F3544"/>
    <w:rsid w:val="003F49E6"/>
    <w:rsid w:val="003F4CDB"/>
    <w:rsid w:val="003F5488"/>
    <w:rsid w:val="003F564C"/>
    <w:rsid w:val="003F6326"/>
    <w:rsid w:val="003F77AA"/>
    <w:rsid w:val="00400EBC"/>
    <w:rsid w:val="00401389"/>
    <w:rsid w:val="00401666"/>
    <w:rsid w:val="0040205D"/>
    <w:rsid w:val="00402742"/>
    <w:rsid w:val="004031C9"/>
    <w:rsid w:val="00403C0B"/>
    <w:rsid w:val="00404A8D"/>
    <w:rsid w:val="004057C1"/>
    <w:rsid w:val="00410105"/>
    <w:rsid w:val="00410A84"/>
    <w:rsid w:val="00411D30"/>
    <w:rsid w:val="004149D3"/>
    <w:rsid w:val="00414C6F"/>
    <w:rsid w:val="00415922"/>
    <w:rsid w:val="00415C26"/>
    <w:rsid w:val="004212CE"/>
    <w:rsid w:val="0042155D"/>
    <w:rsid w:val="004219E3"/>
    <w:rsid w:val="00421D42"/>
    <w:rsid w:val="0042353A"/>
    <w:rsid w:val="00423797"/>
    <w:rsid w:val="00424141"/>
    <w:rsid w:val="004243E6"/>
    <w:rsid w:val="0042458D"/>
    <w:rsid w:val="00425C29"/>
    <w:rsid w:val="004265F2"/>
    <w:rsid w:val="00426BF0"/>
    <w:rsid w:val="00426CC5"/>
    <w:rsid w:val="004271CA"/>
    <w:rsid w:val="004275EA"/>
    <w:rsid w:val="00427C00"/>
    <w:rsid w:val="00431437"/>
    <w:rsid w:val="0043186E"/>
    <w:rsid w:val="00431AA3"/>
    <w:rsid w:val="00433331"/>
    <w:rsid w:val="004343C1"/>
    <w:rsid w:val="00435F25"/>
    <w:rsid w:val="00436830"/>
    <w:rsid w:val="00436942"/>
    <w:rsid w:val="0043696B"/>
    <w:rsid w:val="00436A3F"/>
    <w:rsid w:val="00437311"/>
    <w:rsid w:val="004379A3"/>
    <w:rsid w:val="004404AC"/>
    <w:rsid w:val="0044121D"/>
    <w:rsid w:val="0044130C"/>
    <w:rsid w:val="00441710"/>
    <w:rsid w:val="00441CF3"/>
    <w:rsid w:val="004420CD"/>
    <w:rsid w:val="004421A3"/>
    <w:rsid w:val="00442CCE"/>
    <w:rsid w:val="00444CEF"/>
    <w:rsid w:val="004452CF"/>
    <w:rsid w:val="00445E9D"/>
    <w:rsid w:val="00445FD9"/>
    <w:rsid w:val="00446905"/>
    <w:rsid w:val="00446BFB"/>
    <w:rsid w:val="00446DBC"/>
    <w:rsid w:val="00446EAD"/>
    <w:rsid w:val="00446F0D"/>
    <w:rsid w:val="004478AD"/>
    <w:rsid w:val="00447B96"/>
    <w:rsid w:val="0045021D"/>
    <w:rsid w:val="004519B2"/>
    <w:rsid w:val="004526CE"/>
    <w:rsid w:val="0045307A"/>
    <w:rsid w:val="0045376F"/>
    <w:rsid w:val="0045454C"/>
    <w:rsid w:val="00454B3B"/>
    <w:rsid w:val="00454B48"/>
    <w:rsid w:val="0045549D"/>
    <w:rsid w:val="0045586C"/>
    <w:rsid w:val="00455BAC"/>
    <w:rsid w:val="00455FAF"/>
    <w:rsid w:val="004561D8"/>
    <w:rsid w:val="0045669F"/>
    <w:rsid w:val="00456866"/>
    <w:rsid w:val="00457D7E"/>
    <w:rsid w:val="004603EA"/>
    <w:rsid w:val="0046086F"/>
    <w:rsid w:val="00460E85"/>
    <w:rsid w:val="00461F9C"/>
    <w:rsid w:val="0046395D"/>
    <w:rsid w:val="00464093"/>
    <w:rsid w:val="00464584"/>
    <w:rsid w:val="004651F9"/>
    <w:rsid w:val="004654E2"/>
    <w:rsid w:val="004658F1"/>
    <w:rsid w:val="00465A65"/>
    <w:rsid w:val="00466931"/>
    <w:rsid w:val="00466DF4"/>
    <w:rsid w:val="00467B70"/>
    <w:rsid w:val="00470A13"/>
    <w:rsid w:val="00471467"/>
    <w:rsid w:val="00472235"/>
    <w:rsid w:val="00472D61"/>
    <w:rsid w:val="00472FD5"/>
    <w:rsid w:val="0047375E"/>
    <w:rsid w:val="004738BF"/>
    <w:rsid w:val="004739CA"/>
    <w:rsid w:val="00474090"/>
    <w:rsid w:val="0047426A"/>
    <w:rsid w:val="0047542A"/>
    <w:rsid w:val="00476953"/>
    <w:rsid w:val="00476CF7"/>
    <w:rsid w:val="00477A41"/>
    <w:rsid w:val="004809FF"/>
    <w:rsid w:val="00480A07"/>
    <w:rsid w:val="00480E8F"/>
    <w:rsid w:val="00481024"/>
    <w:rsid w:val="00481047"/>
    <w:rsid w:val="0048216D"/>
    <w:rsid w:val="00482476"/>
    <w:rsid w:val="004828DA"/>
    <w:rsid w:val="00482F42"/>
    <w:rsid w:val="00483CBC"/>
    <w:rsid w:val="00484446"/>
    <w:rsid w:val="00485155"/>
    <w:rsid w:val="004859CC"/>
    <w:rsid w:val="00486D2C"/>
    <w:rsid w:val="00487DBE"/>
    <w:rsid w:val="00492C79"/>
    <w:rsid w:val="004934D1"/>
    <w:rsid w:val="00494083"/>
    <w:rsid w:val="00494605"/>
    <w:rsid w:val="00495615"/>
    <w:rsid w:val="0049577B"/>
    <w:rsid w:val="00495BC1"/>
    <w:rsid w:val="00495EEB"/>
    <w:rsid w:val="00496846"/>
    <w:rsid w:val="0049703B"/>
    <w:rsid w:val="004974A8"/>
    <w:rsid w:val="00497BFA"/>
    <w:rsid w:val="004A0285"/>
    <w:rsid w:val="004A127B"/>
    <w:rsid w:val="004A21D9"/>
    <w:rsid w:val="004A22F9"/>
    <w:rsid w:val="004A265B"/>
    <w:rsid w:val="004A28B7"/>
    <w:rsid w:val="004A2AD9"/>
    <w:rsid w:val="004A2B66"/>
    <w:rsid w:val="004A395A"/>
    <w:rsid w:val="004A4081"/>
    <w:rsid w:val="004A4127"/>
    <w:rsid w:val="004A4F4D"/>
    <w:rsid w:val="004A5676"/>
    <w:rsid w:val="004A59D2"/>
    <w:rsid w:val="004A5D51"/>
    <w:rsid w:val="004A6D7D"/>
    <w:rsid w:val="004A70AB"/>
    <w:rsid w:val="004B0861"/>
    <w:rsid w:val="004B0FE6"/>
    <w:rsid w:val="004B1A09"/>
    <w:rsid w:val="004B29CB"/>
    <w:rsid w:val="004B2A91"/>
    <w:rsid w:val="004B36BB"/>
    <w:rsid w:val="004B3B8F"/>
    <w:rsid w:val="004B4276"/>
    <w:rsid w:val="004B43DA"/>
    <w:rsid w:val="004B6594"/>
    <w:rsid w:val="004B74FB"/>
    <w:rsid w:val="004B7B3E"/>
    <w:rsid w:val="004C2F7C"/>
    <w:rsid w:val="004C4900"/>
    <w:rsid w:val="004C57CC"/>
    <w:rsid w:val="004C73F2"/>
    <w:rsid w:val="004C7545"/>
    <w:rsid w:val="004D1E7B"/>
    <w:rsid w:val="004D32F3"/>
    <w:rsid w:val="004D3614"/>
    <w:rsid w:val="004D38A0"/>
    <w:rsid w:val="004D3BBF"/>
    <w:rsid w:val="004D411F"/>
    <w:rsid w:val="004D506B"/>
    <w:rsid w:val="004D5964"/>
    <w:rsid w:val="004D7226"/>
    <w:rsid w:val="004D727D"/>
    <w:rsid w:val="004D778D"/>
    <w:rsid w:val="004E1072"/>
    <w:rsid w:val="004E13D2"/>
    <w:rsid w:val="004E1BA2"/>
    <w:rsid w:val="004E1E02"/>
    <w:rsid w:val="004E218C"/>
    <w:rsid w:val="004E3069"/>
    <w:rsid w:val="004E35A9"/>
    <w:rsid w:val="004E4323"/>
    <w:rsid w:val="004E4A10"/>
    <w:rsid w:val="004E4E41"/>
    <w:rsid w:val="004E5610"/>
    <w:rsid w:val="004E7247"/>
    <w:rsid w:val="004E7E4B"/>
    <w:rsid w:val="004E7E69"/>
    <w:rsid w:val="004F105C"/>
    <w:rsid w:val="004F10B6"/>
    <w:rsid w:val="004F1660"/>
    <w:rsid w:val="004F19A5"/>
    <w:rsid w:val="004F4DD4"/>
    <w:rsid w:val="004F5389"/>
    <w:rsid w:val="004F5D98"/>
    <w:rsid w:val="004F5DCF"/>
    <w:rsid w:val="004F64E1"/>
    <w:rsid w:val="004F729A"/>
    <w:rsid w:val="004F7668"/>
    <w:rsid w:val="004F76DB"/>
    <w:rsid w:val="004F7DF6"/>
    <w:rsid w:val="00500189"/>
    <w:rsid w:val="00500330"/>
    <w:rsid w:val="005007EA"/>
    <w:rsid w:val="00500A6B"/>
    <w:rsid w:val="00502924"/>
    <w:rsid w:val="005029E4"/>
    <w:rsid w:val="005044BD"/>
    <w:rsid w:val="00504E14"/>
    <w:rsid w:val="00507268"/>
    <w:rsid w:val="00507E63"/>
    <w:rsid w:val="00507F19"/>
    <w:rsid w:val="00510183"/>
    <w:rsid w:val="0051144C"/>
    <w:rsid w:val="00512299"/>
    <w:rsid w:val="00512D91"/>
    <w:rsid w:val="005141B5"/>
    <w:rsid w:val="005147B9"/>
    <w:rsid w:val="00514B7E"/>
    <w:rsid w:val="005163BE"/>
    <w:rsid w:val="00516BB8"/>
    <w:rsid w:val="00516E3A"/>
    <w:rsid w:val="005172DC"/>
    <w:rsid w:val="0051750E"/>
    <w:rsid w:val="00517586"/>
    <w:rsid w:val="00520B92"/>
    <w:rsid w:val="0052106A"/>
    <w:rsid w:val="005211C4"/>
    <w:rsid w:val="00522107"/>
    <w:rsid w:val="00522566"/>
    <w:rsid w:val="00524154"/>
    <w:rsid w:val="00524328"/>
    <w:rsid w:val="005243F8"/>
    <w:rsid w:val="00526AA1"/>
    <w:rsid w:val="00527AFC"/>
    <w:rsid w:val="00527CDD"/>
    <w:rsid w:val="00527F4C"/>
    <w:rsid w:val="00530215"/>
    <w:rsid w:val="005303E7"/>
    <w:rsid w:val="00530EEE"/>
    <w:rsid w:val="0053173B"/>
    <w:rsid w:val="00531A96"/>
    <w:rsid w:val="00531B11"/>
    <w:rsid w:val="00531CD6"/>
    <w:rsid w:val="00533087"/>
    <w:rsid w:val="00534572"/>
    <w:rsid w:val="0053516E"/>
    <w:rsid w:val="00536637"/>
    <w:rsid w:val="00536D06"/>
    <w:rsid w:val="005375FA"/>
    <w:rsid w:val="0054075B"/>
    <w:rsid w:val="0054102E"/>
    <w:rsid w:val="0054131B"/>
    <w:rsid w:val="005420B8"/>
    <w:rsid w:val="00542D4C"/>
    <w:rsid w:val="00542FE3"/>
    <w:rsid w:val="0054309A"/>
    <w:rsid w:val="0054438B"/>
    <w:rsid w:val="00544B24"/>
    <w:rsid w:val="00545BBD"/>
    <w:rsid w:val="00546235"/>
    <w:rsid w:val="005462A3"/>
    <w:rsid w:val="00546404"/>
    <w:rsid w:val="00546550"/>
    <w:rsid w:val="00546639"/>
    <w:rsid w:val="00546CD3"/>
    <w:rsid w:val="00547458"/>
    <w:rsid w:val="005479F2"/>
    <w:rsid w:val="00550534"/>
    <w:rsid w:val="005505E3"/>
    <w:rsid w:val="0055144A"/>
    <w:rsid w:val="005516E3"/>
    <w:rsid w:val="005518C5"/>
    <w:rsid w:val="00551E09"/>
    <w:rsid w:val="005532E6"/>
    <w:rsid w:val="0055406A"/>
    <w:rsid w:val="00554896"/>
    <w:rsid w:val="00555720"/>
    <w:rsid w:val="00556162"/>
    <w:rsid w:val="00556B29"/>
    <w:rsid w:val="00556C99"/>
    <w:rsid w:val="00557AC3"/>
    <w:rsid w:val="00557B4D"/>
    <w:rsid w:val="00561FA6"/>
    <w:rsid w:val="00562971"/>
    <w:rsid w:val="00562A02"/>
    <w:rsid w:val="00562D21"/>
    <w:rsid w:val="00562E22"/>
    <w:rsid w:val="00562ECD"/>
    <w:rsid w:val="005636E6"/>
    <w:rsid w:val="00563DD4"/>
    <w:rsid w:val="00563EB7"/>
    <w:rsid w:val="00565896"/>
    <w:rsid w:val="00565A2E"/>
    <w:rsid w:val="005660E6"/>
    <w:rsid w:val="0056666F"/>
    <w:rsid w:val="00566C11"/>
    <w:rsid w:val="00567DAA"/>
    <w:rsid w:val="0057120E"/>
    <w:rsid w:val="00572645"/>
    <w:rsid w:val="00572A73"/>
    <w:rsid w:val="00574C59"/>
    <w:rsid w:val="00576369"/>
    <w:rsid w:val="00576485"/>
    <w:rsid w:val="005776C5"/>
    <w:rsid w:val="00580003"/>
    <w:rsid w:val="00580B13"/>
    <w:rsid w:val="00581256"/>
    <w:rsid w:val="00581317"/>
    <w:rsid w:val="00581964"/>
    <w:rsid w:val="00581FA9"/>
    <w:rsid w:val="005826DE"/>
    <w:rsid w:val="005828CA"/>
    <w:rsid w:val="00582986"/>
    <w:rsid w:val="005831BE"/>
    <w:rsid w:val="0058515F"/>
    <w:rsid w:val="0058661D"/>
    <w:rsid w:val="00586CF9"/>
    <w:rsid w:val="00587FA4"/>
    <w:rsid w:val="00590575"/>
    <w:rsid w:val="00590C8F"/>
    <w:rsid w:val="00591669"/>
    <w:rsid w:val="0059206E"/>
    <w:rsid w:val="00592293"/>
    <w:rsid w:val="00592C53"/>
    <w:rsid w:val="005934C7"/>
    <w:rsid w:val="005936F3"/>
    <w:rsid w:val="00593C78"/>
    <w:rsid w:val="00593E45"/>
    <w:rsid w:val="00594B9F"/>
    <w:rsid w:val="00594DAE"/>
    <w:rsid w:val="005969D8"/>
    <w:rsid w:val="0059737C"/>
    <w:rsid w:val="005977B8"/>
    <w:rsid w:val="005979AB"/>
    <w:rsid w:val="00597F6E"/>
    <w:rsid w:val="005A0C69"/>
    <w:rsid w:val="005A0EF8"/>
    <w:rsid w:val="005A173B"/>
    <w:rsid w:val="005A2141"/>
    <w:rsid w:val="005A2275"/>
    <w:rsid w:val="005A3350"/>
    <w:rsid w:val="005A34C0"/>
    <w:rsid w:val="005A4584"/>
    <w:rsid w:val="005A49C6"/>
    <w:rsid w:val="005A4A73"/>
    <w:rsid w:val="005A5A09"/>
    <w:rsid w:val="005A5A60"/>
    <w:rsid w:val="005A7E63"/>
    <w:rsid w:val="005B020F"/>
    <w:rsid w:val="005B0615"/>
    <w:rsid w:val="005B0E53"/>
    <w:rsid w:val="005B1285"/>
    <w:rsid w:val="005B178B"/>
    <w:rsid w:val="005B2458"/>
    <w:rsid w:val="005B2969"/>
    <w:rsid w:val="005B35D1"/>
    <w:rsid w:val="005B4440"/>
    <w:rsid w:val="005B4857"/>
    <w:rsid w:val="005B52A4"/>
    <w:rsid w:val="005B59A0"/>
    <w:rsid w:val="005B5D71"/>
    <w:rsid w:val="005B5DCD"/>
    <w:rsid w:val="005B6B38"/>
    <w:rsid w:val="005B7770"/>
    <w:rsid w:val="005B7C77"/>
    <w:rsid w:val="005C0508"/>
    <w:rsid w:val="005C07EF"/>
    <w:rsid w:val="005C0D51"/>
    <w:rsid w:val="005C12D7"/>
    <w:rsid w:val="005C19FF"/>
    <w:rsid w:val="005C39DB"/>
    <w:rsid w:val="005C3C65"/>
    <w:rsid w:val="005C3FBB"/>
    <w:rsid w:val="005C4163"/>
    <w:rsid w:val="005C4445"/>
    <w:rsid w:val="005C44C3"/>
    <w:rsid w:val="005C45A6"/>
    <w:rsid w:val="005C4CDD"/>
    <w:rsid w:val="005C5104"/>
    <w:rsid w:val="005C5673"/>
    <w:rsid w:val="005C5CB7"/>
    <w:rsid w:val="005C6430"/>
    <w:rsid w:val="005C75A2"/>
    <w:rsid w:val="005C75ED"/>
    <w:rsid w:val="005C7626"/>
    <w:rsid w:val="005D08BB"/>
    <w:rsid w:val="005D0F75"/>
    <w:rsid w:val="005D0FE6"/>
    <w:rsid w:val="005D10A5"/>
    <w:rsid w:val="005D1D35"/>
    <w:rsid w:val="005D1F5C"/>
    <w:rsid w:val="005D26C5"/>
    <w:rsid w:val="005D3F56"/>
    <w:rsid w:val="005D49CA"/>
    <w:rsid w:val="005D4DD8"/>
    <w:rsid w:val="005D5427"/>
    <w:rsid w:val="005D5A05"/>
    <w:rsid w:val="005D5F84"/>
    <w:rsid w:val="005D5FB3"/>
    <w:rsid w:val="005D73D9"/>
    <w:rsid w:val="005D78A2"/>
    <w:rsid w:val="005D7EE6"/>
    <w:rsid w:val="005E0517"/>
    <w:rsid w:val="005E0710"/>
    <w:rsid w:val="005E0D79"/>
    <w:rsid w:val="005E0EF7"/>
    <w:rsid w:val="005E225F"/>
    <w:rsid w:val="005E2480"/>
    <w:rsid w:val="005E39FF"/>
    <w:rsid w:val="005E57C5"/>
    <w:rsid w:val="005E5E35"/>
    <w:rsid w:val="005E5F68"/>
    <w:rsid w:val="005E6783"/>
    <w:rsid w:val="005E6C47"/>
    <w:rsid w:val="005E728A"/>
    <w:rsid w:val="005E73DA"/>
    <w:rsid w:val="005E7671"/>
    <w:rsid w:val="005E7C80"/>
    <w:rsid w:val="005F02F7"/>
    <w:rsid w:val="005F0A76"/>
    <w:rsid w:val="005F1D7F"/>
    <w:rsid w:val="005F1FED"/>
    <w:rsid w:val="005F20BA"/>
    <w:rsid w:val="005F2A4A"/>
    <w:rsid w:val="005F2A92"/>
    <w:rsid w:val="005F30D4"/>
    <w:rsid w:val="005F3722"/>
    <w:rsid w:val="005F519B"/>
    <w:rsid w:val="005F53F6"/>
    <w:rsid w:val="005F6739"/>
    <w:rsid w:val="005F79FA"/>
    <w:rsid w:val="00600D6F"/>
    <w:rsid w:val="00601282"/>
    <w:rsid w:val="006014C7"/>
    <w:rsid w:val="0060318D"/>
    <w:rsid w:val="0060373A"/>
    <w:rsid w:val="006046CF"/>
    <w:rsid w:val="00604728"/>
    <w:rsid w:val="006048B2"/>
    <w:rsid w:val="006048DD"/>
    <w:rsid w:val="006049F7"/>
    <w:rsid w:val="006056CC"/>
    <w:rsid w:val="00605FE7"/>
    <w:rsid w:val="006062B6"/>
    <w:rsid w:val="00606500"/>
    <w:rsid w:val="00606671"/>
    <w:rsid w:val="00607D8B"/>
    <w:rsid w:val="00610314"/>
    <w:rsid w:val="00610CF2"/>
    <w:rsid w:val="006110B3"/>
    <w:rsid w:val="00611299"/>
    <w:rsid w:val="00611FD6"/>
    <w:rsid w:val="00612403"/>
    <w:rsid w:val="00612822"/>
    <w:rsid w:val="00612D7C"/>
    <w:rsid w:val="0061304B"/>
    <w:rsid w:val="006137CF"/>
    <w:rsid w:val="00614C19"/>
    <w:rsid w:val="00614E7A"/>
    <w:rsid w:val="00614EE6"/>
    <w:rsid w:val="00615013"/>
    <w:rsid w:val="006153C4"/>
    <w:rsid w:val="0061617A"/>
    <w:rsid w:val="00616364"/>
    <w:rsid w:val="0061663F"/>
    <w:rsid w:val="006168D9"/>
    <w:rsid w:val="00617294"/>
    <w:rsid w:val="0061795A"/>
    <w:rsid w:val="00617DF3"/>
    <w:rsid w:val="00617FDB"/>
    <w:rsid w:val="00620ECB"/>
    <w:rsid w:val="0062108C"/>
    <w:rsid w:val="00621156"/>
    <w:rsid w:val="0062124B"/>
    <w:rsid w:val="00621586"/>
    <w:rsid w:val="006221DA"/>
    <w:rsid w:val="00622325"/>
    <w:rsid w:val="00622ACC"/>
    <w:rsid w:val="0062355F"/>
    <w:rsid w:val="00625028"/>
    <w:rsid w:val="0062604B"/>
    <w:rsid w:val="00626F6B"/>
    <w:rsid w:val="0063039F"/>
    <w:rsid w:val="0063111E"/>
    <w:rsid w:val="00631135"/>
    <w:rsid w:val="006333DD"/>
    <w:rsid w:val="006335B6"/>
    <w:rsid w:val="0063381D"/>
    <w:rsid w:val="0063484D"/>
    <w:rsid w:val="00634A67"/>
    <w:rsid w:val="00635F93"/>
    <w:rsid w:val="00636FF0"/>
    <w:rsid w:val="006371A8"/>
    <w:rsid w:val="00637C33"/>
    <w:rsid w:val="00637C62"/>
    <w:rsid w:val="00637DA9"/>
    <w:rsid w:val="00637DBB"/>
    <w:rsid w:val="00640AA4"/>
    <w:rsid w:val="00641337"/>
    <w:rsid w:val="006415BA"/>
    <w:rsid w:val="00641BE0"/>
    <w:rsid w:val="00641C47"/>
    <w:rsid w:val="006423C7"/>
    <w:rsid w:val="00643C66"/>
    <w:rsid w:val="00644D65"/>
    <w:rsid w:val="0064514D"/>
    <w:rsid w:val="006451E8"/>
    <w:rsid w:val="00645BC5"/>
    <w:rsid w:val="00646729"/>
    <w:rsid w:val="006470D9"/>
    <w:rsid w:val="00647E1B"/>
    <w:rsid w:val="0065076C"/>
    <w:rsid w:val="00650A66"/>
    <w:rsid w:val="00650A74"/>
    <w:rsid w:val="00650E8F"/>
    <w:rsid w:val="0065318C"/>
    <w:rsid w:val="00653B0E"/>
    <w:rsid w:val="00653B53"/>
    <w:rsid w:val="00654574"/>
    <w:rsid w:val="00654F1B"/>
    <w:rsid w:val="006557AC"/>
    <w:rsid w:val="006558DA"/>
    <w:rsid w:val="00655C9B"/>
    <w:rsid w:val="00656616"/>
    <w:rsid w:val="0065667A"/>
    <w:rsid w:val="006573E2"/>
    <w:rsid w:val="00657DDB"/>
    <w:rsid w:val="0066021F"/>
    <w:rsid w:val="006603F0"/>
    <w:rsid w:val="00660CA9"/>
    <w:rsid w:val="0066188E"/>
    <w:rsid w:val="00661FE5"/>
    <w:rsid w:val="0066243B"/>
    <w:rsid w:val="00662782"/>
    <w:rsid w:val="006632C7"/>
    <w:rsid w:val="00663340"/>
    <w:rsid w:val="00663F4C"/>
    <w:rsid w:val="0066409C"/>
    <w:rsid w:val="006649BA"/>
    <w:rsid w:val="00664ED8"/>
    <w:rsid w:val="00666904"/>
    <w:rsid w:val="00666DE3"/>
    <w:rsid w:val="006707E4"/>
    <w:rsid w:val="00670808"/>
    <w:rsid w:val="006709EC"/>
    <w:rsid w:val="00671193"/>
    <w:rsid w:val="0067122E"/>
    <w:rsid w:val="006713C1"/>
    <w:rsid w:val="00671474"/>
    <w:rsid w:val="006714C2"/>
    <w:rsid w:val="006746DE"/>
    <w:rsid w:val="00674FA2"/>
    <w:rsid w:val="00675099"/>
    <w:rsid w:val="00676617"/>
    <w:rsid w:val="00677325"/>
    <w:rsid w:val="00677724"/>
    <w:rsid w:val="00677BF4"/>
    <w:rsid w:val="0068001D"/>
    <w:rsid w:val="00680927"/>
    <w:rsid w:val="006810FA"/>
    <w:rsid w:val="0068158D"/>
    <w:rsid w:val="0068241B"/>
    <w:rsid w:val="006840D6"/>
    <w:rsid w:val="00684F4B"/>
    <w:rsid w:val="00686FFC"/>
    <w:rsid w:val="00687087"/>
    <w:rsid w:val="00687643"/>
    <w:rsid w:val="00687784"/>
    <w:rsid w:val="0068780C"/>
    <w:rsid w:val="00687820"/>
    <w:rsid w:val="006905AC"/>
    <w:rsid w:val="0069182C"/>
    <w:rsid w:val="00691D27"/>
    <w:rsid w:val="006924ED"/>
    <w:rsid w:val="00692C51"/>
    <w:rsid w:val="00693FFB"/>
    <w:rsid w:val="00694442"/>
    <w:rsid w:val="00694698"/>
    <w:rsid w:val="00694D56"/>
    <w:rsid w:val="00695BF7"/>
    <w:rsid w:val="00695F60"/>
    <w:rsid w:val="0069792E"/>
    <w:rsid w:val="006A0282"/>
    <w:rsid w:val="006A0996"/>
    <w:rsid w:val="006A0CAF"/>
    <w:rsid w:val="006A2806"/>
    <w:rsid w:val="006A2852"/>
    <w:rsid w:val="006A3224"/>
    <w:rsid w:val="006A3DF4"/>
    <w:rsid w:val="006A4441"/>
    <w:rsid w:val="006A5311"/>
    <w:rsid w:val="006A6208"/>
    <w:rsid w:val="006A669E"/>
    <w:rsid w:val="006A7EBF"/>
    <w:rsid w:val="006B0AF4"/>
    <w:rsid w:val="006B122B"/>
    <w:rsid w:val="006B197C"/>
    <w:rsid w:val="006B2EBB"/>
    <w:rsid w:val="006B38BB"/>
    <w:rsid w:val="006B52DA"/>
    <w:rsid w:val="006B5B1B"/>
    <w:rsid w:val="006B709E"/>
    <w:rsid w:val="006B7EEA"/>
    <w:rsid w:val="006C0658"/>
    <w:rsid w:val="006C077B"/>
    <w:rsid w:val="006C09C7"/>
    <w:rsid w:val="006C0AC8"/>
    <w:rsid w:val="006C1E35"/>
    <w:rsid w:val="006C1ED1"/>
    <w:rsid w:val="006C2063"/>
    <w:rsid w:val="006C30C0"/>
    <w:rsid w:val="006C38B1"/>
    <w:rsid w:val="006C391A"/>
    <w:rsid w:val="006C4469"/>
    <w:rsid w:val="006C48D7"/>
    <w:rsid w:val="006C581C"/>
    <w:rsid w:val="006C627F"/>
    <w:rsid w:val="006C6430"/>
    <w:rsid w:val="006C764E"/>
    <w:rsid w:val="006C7E52"/>
    <w:rsid w:val="006D0803"/>
    <w:rsid w:val="006D0B35"/>
    <w:rsid w:val="006D0E66"/>
    <w:rsid w:val="006D194A"/>
    <w:rsid w:val="006D1C9F"/>
    <w:rsid w:val="006D25D9"/>
    <w:rsid w:val="006D2739"/>
    <w:rsid w:val="006D2A72"/>
    <w:rsid w:val="006D4E99"/>
    <w:rsid w:val="006D6C27"/>
    <w:rsid w:val="006D6D5D"/>
    <w:rsid w:val="006D7662"/>
    <w:rsid w:val="006D7FD7"/>
    <w:rsid w:val="006E0316"/>
    <w:rsid w:val="006E290A"/>
    <w:rsid w:val="006E2E46"/>
    <w:rsid w:val="006E2EE8"/>
    <w:rsid w:val="006E2EF9"/>
    <w:rsid w:val="006E3C93"/>
    <w:rsid w:val="006E3D7D"/>
    <w:rsid w:val="006E3DDC"/>
    <w:rsid w:val="006E4E1E"/>
    <w:rsid w:val="006E5431"/>
    <w:rsid w:val="006E639C"/>
    <w:rsid w:val="006E6AD9"/>
    <w:rsid w:val="006E6B5D"/>
    <w:rsid w:val="006E7BF6"/>
    <w:rsid w:val="006F0305"/>
    <w:rsid w:val="006F05FC"/>
    <w:rsid w:val="006F0BE2"/>
    <w:rsid w:val="006F0EFD"/>
    <w:rsid w:val="006F1226"/>
    <w:rsid w:val="006F3585"/>
    <w:rsid w:val="006F376F"/>
    <w:rsid w:val="006F4AE1"/>
    <w:rsid w:val="006F4CA5"/>
    <w:rsid w:val="006F5098"/>
    <w:rsid w:val="006F539C"/>
    <w:rsid w:val="006F6071"/>
    <w:rsid w:val="006F61CC"/>
    <w:rsid w:val="006F6B24"/>
    <w:rsid w:val="006F7AA8"/>
    <w:rsid w:val="007000FE"/>
    <w:rsid w:val="00700A87"/>
    <w:rsid w:val="00700BD8"/>
    <w:rsid w:val="007013E9"/>
    <w:rsid w:val="0070219E"/>
    <w:rsid w:val="00702FA0"/>
    <w:rsid w:val="0070336D"/>
    <w:rsid w:val="00703DB6"/>
    <w:rsid w:val="0070457F"/>
    <w:rsid w:val="00705DB6"/>
    <w:rsid w:val="007063DB"/>
    <w:rsid w:val="00707953"/>
    <w:rsid w:val="00707C9A"/>
    <w:rsid w:val="00710901"/>
    <w:rsid w:val="00711304"/>
    <w:rsid w:val="0071170F"/>
    <w:rsid w:val="00711788"/>
    <w:rsid w:val="00711C78"/>
    <w:rsid w:val="00712001"/>
    <w:rsid w:val="00712169"/>
    <w:rsid w:val="0071222A"/>
    <w:rsid w:val="0071260E"/>
    <w:rsid w:val="007132DA"/>
    <w:rsid w:val="007139AD"/>
    <w:rsid w:val="00714342"/>
    <w:rsid w:val="007145A1"/>
    <w:rsid w:val="00714ABC"/>
    <w:rsid w:val="00715301"/>
    <w:rsid w:val="00715E14"/>
    <w:rsid w:val="00716066"/>
    <w:rsid w:val="00716784"/>
    <w:rsid w:val="00716B4B"/>
    <w:rsid w:val="00716B95"/>
    <w:rsid w:val="0071771C"/>
    <w:rsid w:val="0072012E"/>
    <w:rsid w:val="0072014E"/>
    <w:rsid w:val="007207CF"/>
    <w:rsid w:val="00721307"/>
    <w:rsid w:val="00721472"/>
    <w:rsid w:val="0072159F"/>
    <w:rsid w:val="00721ABC"/>
    <w:rsid w:val="0072218E"/>
    <w:rsid w:val="0072278D"/>
    <w:rsid w:val="00722B72"/>
    <w:rsid w:val="0072339B"/>
    <w:rsid w:val="00723718"/>
    <w:rsid w:val="007247A2"/>
    <w:rsid w:val="00724BFD"/>
    <w:rsid w:val="00725C39"/>
    <w:rsid w:val="00725E5D"/>
    <w:rsid w:val="00725FD2"/>
    <w:rsid w:val="007269CD"/>
    <w:rsid w:val="0072777B"/>
    <w:rsid w:val="00727C8E"/>
    <w:rsid w:val="00730D68"/>
    <w:rsid w:val="0073117A"/>
    <w:rsid w:val="007313D3"/>
    <w:rsid w:val="007322FE"/>
    <w:rsid w:val="0073311B"/>
    <w:rsid w:val="00733416"/>
    <w:rsid w:val="00733DC5"/>
    <w:rsid w:val="0073448F"/>
    <w:rsid w:val="0073468F"/>
    <w:rsid w:val="00734A9D"/>
    <w:rsid w:val="00734AE6"/>
    <w:rsid w:val="00734E62"/>
    <w:rsid w:val="00735593"/>
    <w:rsid w:val="007364D0"/>
    <w:rsid w:val="00737B77"/>
    <w:rsid w:val="0074158C"/>
    <w:rsid w:val="007417C4"/>
    <w:rsid w:val="007417C5"/>
    <w:rsid w:val="007417D6"/>
    <w:rsid w:val="00741A9B"/>
    <w:rsid w:val="00742124"/>
    <w:rsid w:val="00742158"/>
    <w:rsid w:val="0074275C"/>
    <w:rsid w:val="00743C93"/>
    <w:rsid w:val="00743D0A"/>
    <w:rsid w:val="007455D5"/>
    <w:rsid w:val="007460F3"/>
    <w:rsid w:val="0074649E"/>
    <w:rsid w:val="007465A1"/>
    <w:rsid w:val="0074680A"/>
    <w:rsid w:val="00747C03"/>
    <w:rsid w:val="00747C7E"/>
    <w:rsid w:val="00750BFD"/>
    <w:rsid w:val="00750F99"/>
    <w:rsid w:val="00751504"/>
    <w:rsid w:val="007517F0"/>
    <w:rsid w:val="00751A9C"/>
    <w:rsid w:val="007525DB"/>
    <w:rsid w:val="00752D2D"/>
    <w:rsid w:val="00752F2C"/>
    <w:rsid w:val="007552EC"/>
    <w:rsid w:val="007560E8"/>
    <w:rsid w:val="00757BC8"/>
    <w:rsid w:val="0076019F"/>
    <w:rsid w:val="00760DA6"/>
    <w:rsid w:val="00761AAB"/>
    <w:rsid w:val="00762D20"/>
    <w:rsid w:val="00763B4C"/>
    <w:rsid w:val="00763E16"/>
    <w:rsid w:val="007643B9"/>
    <w:rsid w:val="0076474B"/>
    <w:rsid w:val="00764CB6"/>
    <w:rsid w:val="0076600F"/>
    <w:rsid w:val="00766600"/>
    <w:rsid w:val="0077005B"/>
    <w:rsid w:val="00770089"/>
    <w:rsid w:val="00771020"/>
    <w:rsid w:val="00771511"/>
    <w:rsid w:val="00772A33"/>
    <w:rsid w:val="00772EF9"/>
    <w:rsid w:val="00772F1B"/>
    <w:rsid w:val="007732B6"/>
    <w:rsid w:val="00773626"/>
    <w:rsid w:val="007751FE"/>
    <w:rsid w:val="007753CF"/>
    <w:rsid w:val="007754DA"/>
    <w:rsid w:val="00775704"/>
    <w:rsid w:val="00776359"/>
    <w:rsid w:val="00776F1E"/>
    <w:rsid w:val="007775C5"/>
    <w:rsid w:val="00777A79"/>
    <w:rsid w:val="00780B64"/>
    <w:rsid w:val="00780BB8"/>
    <w:rsid w:val="00780DBC"/>
    <w:rsid w:val="00780EAE"/>
    <w:rsid w:val="00781749"/>
    <w:rsid w:val="0078215B"/>
    <w:rsid w:val="007839FF"/>
    <w:rsid w:val="00783D46"/>
    <w:rsid w:val="00784D7F"/>
    <w:rsid w:val="0078624B"/>
    <w:rsid w:val="00786F4F"/>
    <w:rsid w:val="007877B1"/>
    <w:rsid w:val="00791C76"/>
    <w:rsid w:val="0079210D"/>
    <w:rsid w:val="00792ED9"/>
    <w:rsid w:val="007930AD"/>
    <w:rsid w:val="00793A46"/>
    <w:rsid w:val="00793B1C"/>
    <w:rsid w:val="00794DE0"/>
    <w:rsid w:val="00794F0B"/>
    <w:rsid w:val="00796875"/>
    <w:rsid w:val="00797273"/>
    <w:rsid w:val="007A15E4"/>
    <w:rsid w:val="007A1AD1"/>
    <w:rsid w:val="007A2390"/>
    <w:rsid w:val="007A3607"/>
    <w:rsid w:val="007A3CF6"/>
    <w:rsid w:val="007A4FB3"/>
    <w:rsid w:val="007A5473"/>
    <w:rsid w:val="007A5A06"/>
    <w:rsid w:val="007A5B2D"/>
    <w:rsid w:val="007A6115"/>
    <w:rsid w:val="007A6866"/>
    <w:rsid w:val="007A6F81"/>
    <w:rsid w:val="007A70FA"/>
    <w:rsid w:val="007A736C"/>
    <w:rsid w:val="007B003C"/>
    <w:rsid w:val="007B083F"/>
    <w:rsid w:val="007B0B0F"/>
    <w:rsid w:val="007B1344"/>
    <w:rsid w:val="007B171E"/>
    <w:rsid w:val="007B18F4"/>
    <w:rsid w:val="007B1926"/>
    <w:rsid w:val="007B1CD9"/>
    <w:rsid w:val="007B253D"/>
    <w:rsid w:val="007B2A22"/>
    <w:rsid w:val="007B3523"/>
    <w:rsid w:val="007B4541"/>
    <w:rsid w:val="007B4987"/>
    <w:rsid w:val="007B578B"/>
    <w:rsid w:val="007B5964"/>
    <w:rsid w:val="007B5E95"/>
    <w:rsid w:val="007B60D6"/>
    <w:rsid w:val="007B64AC"/>
    <w:rsid w:val="007B697D"/>
    <w:rsid w:val="007B6CF3"/>
    <w:rsid w:val="007B7081"/>
    <w:rsid w:val="007B735E"/>
    <w:rsid w:val="007C0099"/>
    <w:rsid w:val="007C08C5"/>
    <w:rsid w:val="007C1967"/>
    <w:rsid w:val="007C1D9C"/>
    <w:rsid w:val="007C2A7E"/>
    <w:rsid w:val="007C2F40"/>
    <w:rsid w:val="007C396A"/>
    <w:rsid w:val="007C3A09"/>
    <w:rsid w:val="007C3CF1"/>
    <w:rsid w:val="007C461E"/>
    <w:rsid w:val="007C4B28"/>
    <w:rsid w:val="007C522F"/>
    <w:rsid w:val="007C5252"/>
    <w:rsid w:val="007C5557"/>
    <w:rsid w:val="007C623B"/>
    <w:rsid w:val="007C707A"/>
    <w:rsid w:val="007C77E1"/>
    <w:rsid w:val="007C7FAC"/>
    <w:rsid w:val="007D00EA"/>
    <w:rsid w:val="007D1687"/>
    <w:rsid w:val="007D1910"/>
    <w:rsid w:val="007D2352"/>
    <w:rsid w:val="007D27A1"/>
    <w:rsid w:val="007D3CDB"/>
    <w:rsid w:val="007D496F"/>
    <w:rsid w:val="007D4E8F"/>
    <w:rsid w:val="007D6293"/>
    <w:rsid w:val="007D6E3C"/>
    <w:rsid w:val="007D6F5E"/>
    <w:rsid w:val="007D7CA4"/>
    <w:rsid w:val="007E0471"/>
    <w:rsid w:val="007E0668"/>
    <w:rsid w:val="007E078B"/>
    <w:rsid w:val="007E0D52"/>
    <w:rsid w:val="007E2FA7"/>
    <w:rsid w:val="007E3945"/>
    <w:rsid w:val="007E3DEE"/>
    <w:rsid w:val="007E40FB"/>
    <w:rsid w:val="007E49B2"/>
    <w:rsid w:val="007E4A7C"/>
    <w:rsid w:val="007E600C"/>
    <w:rsid w:val="007E64A6"/>
    <w:rsid w:val="007E6E3E"/>
    <w:rsid w:val="007E74AC"/>
    <w:rsid w:val="007F0144"/>
    <w:rsid w:val="007F0307"/>
    <w:rsid w:val="007F041D"/>
    <w:rsid w:val="007F4EDC"/>
    <w:rsid w:val="007F4F0A"/>
    <w:rsid w:val="007F545E"/>
    <w:rsid w:val="007F549D"/>
    <w:rsid w:val="007F5CA4"/>
    <w:rsid w:val="007F5E7A"/>
    <w:rsid w:val="007F6DA3"/>
    <w:rsid w:val="007F74DB"/>
    <w:rsid w:val="007F779F"/>
    <w:rsid w:val="0080031D"/>
    <w:rsid w:val="00801285"/>
    <w:rsid w:val="00801BA1"/>
    <w:rsid w:val="00801DB9"/>
    <w:rsid w:val="008026E3"/>
    <w:rsid w:val="00802D5E"/>
    <w:rsid w:val="00803991"/>
    <w:rsid w:val="00803C60"/>
    <w:rsid w:val="00804133"/>
    <w:rsid w:val="00804CD0"/>
    <w:rsid w:val="00805459"/>
    <w:rsid w:val="00805AE2"/>
    <w:rsid w:val="00805B71"/>
    <w:rsid w:val="00806159"/>
    <w:rsid w:val="00806E1C"/>
    <w:rsid w:val="00811A0E"/>
    <w:rsid w:val="00811B5A"/>
    <w:rsid w:val="00811FD1"/>
    <w:rsid w:val="0081249C"/>
    <w:rsid w:val="0081317F"/>
    <w:rsid w:val="00813CAD"/>
    <w:rsid w:val="00813EF9"/>
    <w:rsid w:val="00813F37"/>
    <w:rsid w:val="00814BBC"/>
    <w:rsid w:val="00815418"/>
    <w:rsid w:val="00816317"/>
    <w:rsid w:val="00817EB9"/>
    <w:rsid w:val="0082050E"/>
    <w:rsid w:val="00823419"/>
    <w:rsid w:val="0082357A"/>
    <w:rsid w:val="00823722"/>
    <w:rsid w:val="008243C0"/>
    <w:rsid w:val="008248A8"/>
    <w:rsid w:val="00825328"/>
    <w:rsid w:val="008266AE"/>
    <w:rsid w:val="0082706F"/>
    <w:rsid w:val="008274F6"/>
    <w:rsid w:val="00827557"/>
    <w:rsid w:val="0082772A"/>
    <w:rsid w:val="00827D55"/>
    <w:rsid w:val="00831774"/>
    <w:rsid w:val="00831836"/>
    <w:rsid w:val="00831B29"/>
    <w:rsid w:val="00831E5F"/>
    <w:rsid w:val="00833205"/>
    <w:rsid w:val="00833473"/>
    <w:rsid w:val="00834103"/>
    <w:rsid w:val="0083425F"/>
    <w:rsid w:val="00834FF2"/>
    <w:rsid w:val="00835392"/>
    <w:rsid w:val="00835962"/>
    <w:rsid w:val="00835FF9"/>
    <w:rsid w:val="0083699F"/>
    <w:rsid w:val="008372B4"/>
    <w:rsid w:val="00837841"/>
    <w:rsid w:val="00840E40"/>
    <w:rsid w:val="0084103D"/>
    <w:rsid w:val="008413A8"/>
    <w:rsid w:val="00841491"/>
    <w:rsid w:val="00842D34"/>
    <w:rsid w:val="0084369F"/>
    <w:rsid w:val="00843C1F"/>
    <w:rsid w:val="00843FC3"/>
    <w:rsid w:val="008445E1"/>
    <w:rsid w:val="00846544"/>
    <w:rsid w:val="00846F5C"/>
    <w:rsid w:val="00847296"/>
    <w:rsid w:val="008502B6"/>
    <w:rsid w:val="00850346"/>
    <w:rsid w:val="00850B83"/>
    <w:rsid w:val="00850FDA"/>
    <w:rsid w:val="00851600"/>
    <w:rsid w:val="00852229"/>
    <w:rsid w:val="008528AA"/>
    <w:rsid w:val="00853A8C"/>
    <w:rsid w:val="0085437F"/>
    <w:rsid w:val="00855AED"/>
    <w:rsid w:val="00855C24"/>
    <w:rsid w:val="0085649D"/>
    <w:rsid w:val="00857102"/>
    <w:rsid w:val="0085711C"/>
    <w:rsid w:val="00857E5A"/>
    <w:rsid w:val="00860BC4"/>
    <w:rsid w:val="00860EE5"/>
    <w:rsid w:val="00861114"/>
    <w:rsid w:val="00861A27"/>
    <w:rsid w:val="00863022"/>
    <w:rsid w:val="00863782"/>
    <w:rsid w:val="00864773"/>
    <w:rsid w:val="008659B4"/>
    <w:rsid w:val="0086628E"/>
    <w:rsid w:val="0086678F"/>
    <w:rsid w:val="008667FD"/>
    <w:rsid w:val="00866953"/>
    <w:rsid w:val="00866F20"/>
    <w:rsid w:val="008670CD"/>
    <w:rsid w:val="0086720A"/>
    <w:rsid w:val="00870A5F"/>
    <w:rsid w:val="00870F11"/>
    <w:rsid w:val="008713C5"/>
    <w:rsid w:val="00871B8E"/>
    <w:rsid w:val="008726B6"/>
    <w:rsid w:val="00872CE5"/>
    <w:rsid w:val="00872DAE"/>
    <w:rsid w:val="008732F0"/>
    <w:rsid w:val="00874539"/>
    <w:rsid w:val="008745E7"/>
    <w:rsid w:val="00874684"/>
    <w:rsid w:val="008746B5"/>
    <w:rsid w:val="008753D8"/>
    <w:rsid w:val="00875B8C"/>
    <w:rsid w:val="00875BF7"/>
    <w:rsid w:val="00875FD2"/>
    <w:rsid w:val="0087683A"/>
    <w:rsid w:val="00876DD1"/>
    <w:rsid w:val="008770C2"/>
    <w:rsid w:val="0087749C"/>
    <w:rsid w:val="00877CEB"/>
    <w:rsid w:val="00877F4D"/>
    <w:rsid w:val="008815AD"/>
    <w:rsid w:val="008817E7"/>
    <w:rsid w:val="00881822"/>
    <w:rsid w:val="0088241D"/>
    <w:rsid w:val="00882F1D"/>
    <w:rsid w:val="00883AA1"/>
    <w:rsid w:val="00883E68"/>
    <w:rsid w:val="00883F81"/>
    <w:rsid w:val="0088430F"/>
    <w:rsid w:val="008902B9"/>
    <w:rsid w:val="00890613"/>
    <w:rsid w:val="00892BD4"/>
    <w:rsid w:val="00892FEE"/>
    <w:rsid w:val="008934D0"/>
    <w:rsid w:val="00893666"/>
    <w:rsid w:val="008944B3"/>
    <w:rsid w:val="00894F7B"/>
    <w:rsid w:val="008955CA"/>
    <w:rsid w:val="00895875"/>
    <w:rsid w:val="00895B3C"/>
    <w:rsid w:val="00896101"/>
    <w:rsid w:val="008964E3"/>
    <w:rsid w:val="00896B4F"/>
    <w:rsid w:val="008972A9"/>
    <w:rsid w:val="00897957"/>
    <w:rsid w:val="00897D06"/>
    <w:rsid w:val="008A04AC"/>
    <w:rsid w:val="008A1428"/>
    <w:rsid w:val="008A1889"/>
    <w:rsid w:val="008A1AB6"/>
    <w:rsid w:val="008A1ECE"/>
    <w:rsid w:val="008A22D0"/>
    <w:rsid w:val="008A271D"/>
    <w:rsid w:val="008A291C"/>
    <w:rsid w:val="008A29B9"/>
    <w:rsid w:val="008A39E0"/>
    <w:rsid w:val="008A3B49"/>
    <w:rsid w:val="008A4FFE"/>
    <w:rsid w:val="008A5D6B"/>
    <w:rsid w:val="008A630D"/>
    <w:rsid w:val="008A63EC"/>
    <w:rsid w:val="008A6EAB"/>
    <w:rsid w:val="008A7960"/>
    <w:rsid w:val="008A7FB1"/>
    <w:rsid w:val="008B0051"/>
    <w:rsid w:val="008B0097"/>
    <w:rsid w:val="008B014D"/>
    <w:rsid w:val="008B0A64"/>
    <w:rsid w:val="008B0AAC"/>
    <w:rsid w:val="008B0FFC"/>
    <w:rsid w:val="008B1274"/>
    <w:rsid w:val="008B13F1"/>
    <w:rsid w:val="008B1FCD"/>
    <w:rsid w:val="008B275C"/>
    <w:rsid w:val="008B4FCD"/>
    <w:rsid w:val="008B58B0"/>
    <w:rsid w:val="008B70EE"/>
    <w:rsid w:val="008B7B2E"/>
    <w:rsid w:val="008C2401"/>
    <w:rsid w:val="008C2AC0"/>
    <w:rsid w:val="008C35C4"/>
    <w:rsid w:val="008C369B"/>
    <w:rsid w:val="008C3AA4"/>
    <w:rsid w:val="008C3CFB"/>
    <w:rsid w:val="008C411E"/>
    <w:rsid w:val="008C452E"/>
    <w:rsid w:val="008C4A98"/>
    <w:rsid w:val="008C4FDC"/>
    <w:rsid w:val="008C53C4"/>
    <w:rsid w:val="008C5BD7"/>
    <w:rsid w:val="008C5D5C"/>
    <w:rsid w:val="008C5F98"/>
    <w:rsid w:val="008C69D1"/>
    <w:rsid w:val="008C6A30"/>
    <w:rsid w:val="008C6C54"/>
    <w:rsid w:val="008C7154"/>
    <w:rsid w:val="008C7569"/>
    <w:rsid w:val="008C7EA3"/>
    <w:rsid w:val="008D0488"/>
    <w:rsid w:val="008D06FE"/>
    <w:rsid w:val="008D0B89"/>
    <w:rsid w:val="008D132C"/>
    <w:rsid w:val="008D2810"/>
    <w:rsid w:val="008D2D2D"/>
    <w:rsid w:val="008D2EC9"/>
    <w:rsid w:val="008D3147"/>
    <w:rsid w:val="008D32CD"/>
    <w:rsid w:val="008D3CD7"/>
    <w:rsid w:val="008D3F22"/>
    <w:rsid w:val="008D417C"/>
    <w:rsid w:val="008D4413"/>
    <w:rsid w:val="008D4AAB"/>
    <w:rsid w:val="008D4D0D"/>
    <w:rsid w:val="008D735C"/>
    <w:rsid w:val="008D7642"/>
    <w:rsid w:val="008D7B81"/>
    <w:rsid w:val="008E00DD"/>
    <w:rsid w:val="008E016F"/>
    <w:rsid w:val="008E03E3"/>
    <w:rsid w:val="008E0452"/>
    <w:rsid w:val="008E0AA2"/>
    <w:rsid w:val="008E3EE0"/>
    <w:rsid w:val="008E4493"/>
    <w:rsid w:val="008E49D8"/>
    <w:rsid w:val="008E5712"/>
    <w:rsid w:val="008E594E"/>
    <w:rsid w:val="008E6E61"/>
    <w:rsid w:val="008E79CA"/>
    <w:rsid w:val="008E7B51"/>
    <w:rsid w:val="008F03A0"/>
    <w:rsid w:val="008F0986"/>
    <w:rsid w:val="008F39F0"/>
    <w:rsid w:val="008F3FB9"/>
    <w:rsid w:val="008F406A"/>
    <w:rsid w:val="008F47BA"/>
    <w:rsid w:val="008F488D"/>
    <w:rsid w:val="008F5392"/>
    <w:rsid w:val="008F5795"/>
    <w:rsid w:val="008F5F55"/>
    <w:rsid w:val="008F601A"/>
    <w:rsid w:val="008F77C8"/>
    <w:rsid w:val="008F79C2"/>
    <w:rsid w:val="00900246"/>
    <w:rsid w:val="00901103"/>
    <w:rsid w:val="00901558"/>
    <w:rsid w:val="00902D82"/>
    <w:rsid w:val="009031DE"/>
    <w:rsid w:val="009032EB"/>
    <w:rsid w:val="0090403D"/>
    <w:rsid w:val="009045C2"/>
    <w:rsid w:val="009049FC"/>
    <w:rsid w:val="00904B3F"/>
    <w:rsid w:val="009051AE"/>
    <w:rsid w:val="0090520A"/>
    <w:rsid w:val="00905228"/>
    <w:rsid w:val="00906CBB"/>
    <w:rsid w:val="009077A7"/>
    <w:rsid w:val="00910091"/>
    <w:rsid w:val="00910574"/>
    <w:rsid w:val="00910812"/>
    <w:rsid w:val="0091098A"/>
    <w:rsid w:val="0091346E"/>
    <w:rsid w:val="00913754"/>
    <w:rsid w:val="00913A9B"/>
    <w:rsid w:val="00913BD6"/>
    <w:rsid w:val="00913CFD"/>
    <w:rsid w:val="00914379"/>
    <w:rsid w:val="009163AC"/>
    <w:rsid w:val="00916DFB"/>
    <w:rsid w:val="00916F2A"/>
    <w:rsid w:val="00917313"/>
    <w:rsid w:val="00917805"/>
    <w:rsid w:val="00920DBF"/>
    <w:rsid w:val="00921396"/>
    <w:rsid w:val="009227F3"/>
    <w:rsid w:val="00922FC1"/>
    <w:rsid w:val="00923E06"/>
    <w:rsid w:val="00924AC1"/>
    <w:rsid w:val="00926998"/>
    <w:rsid w:val="009271B4"/>
    <w:rsid w:val="00930085"/>
    <w:rsid w:val="00930384"/>
    <w:rsid w:val="009303FE"/>
    <w:rsid w:val="00930D0E"/>
    <w:rsid w:val="0093191A"/>
    <w:rsid w:val="00931B22"/>
    <w:rsid w:val="00932ABF"/>
    <w:rsid w:val="0093378F"/>
    <w:rsid w:val="00933E01"/>
    <w:rsid w:val="00933F8C"/>
    <w:rsid w:val="00934886"/>
    <w:rsid w:val="0093492D"/>
    <w:rsid w:val="00935BBC"/>
    <w:rsid w:val="00936A20"/>
    <w:rsid w:val="00936F9A"/>
    <w:rsid w:val="00937421"/>
    <w:rsid w:val="00937722"/>
    <w:rsid w:val="009377E4"/>
    <w:rsid w:val="009378F3"/>
    <w:rsid w:val="00937D83"/>
    <w:rsid w:val="00937E93"/>
    <w:rsid w:val="00940452"/>
    <w:rsid w:val="0094122A"/>
    <w:rsid w:val="009413C4"/>
    <w:rsid w:val="0094207D"/>
    <w:rsid w:val="0094292D"/>
    <w:rsid w:val="00943ABA"/>
    <w:rsid w:val="00943B90"/>
    <w:rsid w:val="009442A7"/>
    <w:rsid w:val="0094446D"/>
    <w:rsid w:val="00944A6F"/>
    <w:rsid w:val="009450A6"/>
    <w:rsid w:val="009452D2"/>
    <w:rsid w:val="00945B1F"/>
    <w:rsid w:val="00946223"/>
    <w:rsid w:val="0094652E"/>
    <w:rsid w:val="00946A37"/>
    <w:rsid w:val="00947345"/>
    <w:rsid w:val="0094740A"/>
    <w:rsid w:val="009474D1"/>
    <w:rsid w:val="009477A7"/>
    <w:rsid w:val="00950440"/>
    <w:rsid w:val="00950F96"/>
    <w:rsid w:val="009519B4"/>
    <w:rsid w:val="00952660"/>
    <w:rsid w:val="009526C8"/>
    <w:rsid w:val="0095286A"/>
    <w:rsid w:val="0095316A"/>
    <w:rsid w:val="0095333B"/>
    <w:rsid w:val="009536EC"/>
    <w:rsid w:val="00953712"/>
    <w:rsid w:val="00954103"/>
    <w:rsid w:val="0095474A"/>
    <w:rsid w:val="00954A63"/>
    <w:rsid w:val="00954DF4"/>
    <w:rsid w:val="00955121"/>
    <w:rsid w:val="009552B0"/>
    <w:rsid w:val="0095541D"/>
    <w:rsid w:val="009571D9"/>
    <w:rsid w:val="00957DE5"/>
    <w:rsid w:val="00957F8C"/>
    <w:rsid w:val="009600F2"/>
    <w:rsid w:val="00960134"/>
    <w:rsid w:val="00960759"/>
    <w:rsid w:val="00960789"/>
    <w:rsid w:val="00960819"/>
    <w:rsid w:val="00960C91"/>
    <w:rsid w:val="0096139B"/>
    <w:rsid w:val="009617D2"/>
    <w:rsid w:val="00962BC3"/>
    <w:rsid w:val="00964589"/>
    <w:rsid w:val="009657B9"/>
    <w:rsid w:val="009662F5"/>
    <w:rsid w:val="0096692D"/>
    <w:rsid w:val="0096709A"/>
    <w:rsid w:val="00967979"/>
    <w:rsid w:val="0097175F"/>
    <w:rsid w:val="009723C4"/>
    <w:rsid w:val="00972606"/>
    <w:rsid w:val="00973756"/>
    <w:rsid w:val="009741AC"/>
    <w:rsid w:val="00974C5B"/>
    <w:rsid w:val="00974F16"/>
    <w:rsid w:val="009751EF"/>
    <w:rsid w:val="00975D57"/>
    <w:rsid w:val="00975F88"/>
    <w:rsid w:val="00976BDD"/>
    <w:rsid w:val="00977D66"/>
    <w:rsid w:val="009806F1"/>
    <w:rsid w:val="00980BEF"/>
    <w:rsid w:val="0098107B"/>
    <w:rsid w:val="00982005"/>
    <w:rsid w:val="009826AE"/>
    <w:rsid w:val="00983A39"/>
    <w:rsid w:val="00983A61"/>
    <w:rsid w:val="00984395"/>
    <w:rsid w:val="00985C23"/>
    <w:rsid w:val="009868EA"/>
    <w:rsid w:val="00986D52"/>
    <w:rsid w:val="009875FA"/>
    <w:rsid w:val="0098761B"/>
    <w:rsid w:val="0099015E"/>
    <w:rsid w:val="009909DD"/>
    <w:rsid w:val="00990A3D"/>
    <w:rsid w:val="00991028"/>
    <w:rsid w:val="009920C0"/>
    <w:rsid w:val="0099356B"/>
    <w:rsid w:val="00994E8A"/>
    <w:rsid w:val="00995B86"/>
    <w:rsid w:val="00995F6A"/>
    <w:rsid w:val="009966EC"/>
    <w:rsid w:val="00996762"/>
    <w:rsid w:val="00996D12"/>
    <w:rsid w:val="00997C8A"/>
    <w:rsid w:val="009A0154"/>
    <w:rsid w:val="009A082C"/>
    <w:rsid w:val="009A0E73"/>
    <w:rsid w:val="009A1197"/>
    <w:rsid w:val="009A19B9"/>
    <w:rsid w:val="009A1F90"/>
    <w:rsid w:val="009A271B"/>
    <w:rsid w:val="009A3312"/>
    <w:rsid w:val="009A3CE5"/>
    <w:rsid w:val="009A3DA5"/>
    <w:rsid w:val="009A47E2"/>
    <w:rsid w:val="009A49E5"/>
    <w:rsid w:val="009A5684"/>
    <w:rsid w:val="009A67EE"/>
    <w:rsid w:val="009A6C58"/>
    <w:rsid w:val="009A731B"/>
    <w:rsid w:val="009A7A55"/>
    <w:rsid w:val="009A7D20"/>
    <w:rsid w:val="009B08FE"/>
    <w:rsid w:val="009B1836"/>
    <w:rsid w:val="009B382F"/>
    <w:rsid w:val="009B4049"/>
    <w:rsid w:val="009B4637"/>
    <w:rsid w:val="009B466E"/>
    <w:rsid w:val="009B4890"/>
    <w:rsid w:val="009B554D"/>
    <w:rsid w:val="009B651D"/>
    <w:rsid w:val="009B6AA8"/>
    <w:rsid w:val="009B6DFE"/>
    <w:rsid w:val="009B6F5A"/>
    <w:rsid w:val="009C0C61"/>
    <w:rsid w:val="009C17CF"/>
    <w:rsid w:val="009C1A48"/>
    <w:rsid w:val="009C1A92"/>
    <w:rsid w:val="009C1B82"/>
    <w:rsid w:val="009C22E5"/>
    <w:rsid w:val="009C255A"/>
    <w:rsid w:val="009C49F7"/>
    <w:rsid w:val="009C4A3C"/>
    <w:rsid w:val="009C52B9"/>
    <w:rsid w:val="009C6377"/>
    <w:rsid w:val="009C78F8"/>
    <w:rsid w:val="009C7E61"/>
    <w:rsid w:val="009C7FA9"/>
    <w:rsid w:val="009D0831"/>
    <w:rsid w:val="009D0A94"/>
    <w:rsid w:val="009D0C46"/>
    <w:rsid w:val="009D1AF7"/>
    <w:rsid w:val="009D1D0C"/>
    <w:rsid w:val="009D23C6"/>
    <w:rsid w:val="009D2517"/>
    <w:rsid w:val="009D2B9C"/>
    <w:rsid w:val="009D33C3"/>
    <w:rsid w:val="009D3B5D"/>
    <w:rsid w:val="009D3FDF"/>
    <w:rsid w:val="009D5149"/>
    <w:rsid w:val="009D5363"/>
    <w:rsid w:val="009D59BC"/>
    <w:rsid w:val="009D7510"/>
    <w:rsid w:val="009D7A89"/>
    <w:rsid w:val="009E05EF"/>
    <w:rsid w:val="009E090E"/>
    <w:rsid w:val="009E1897"/>
    <w:rsid w:val="009E211F"/>
    <w:rsid w:val="009E2DC2"/>
    <w:rsid w:val="009E2E08"/>
    <w:rsid w:val="009E2EFB"/>
    <w:rsid w:val="009E36AF"/>
    <w:rsid w:val="009E386A"/>
    <w:rsid w:val="009E3A36"/>
    <w:rsid w:val="009E3CDC"/>
    <w:rsid w:val="009E3EBF"/>
    <w:rsid w:val="009E574D"/>
    <w:rsid w:val="009E5D9C"/>
    <w:rsid w:val="009E6244"/>
    <w:rsid w:val="009E7247"/>
    <w:rsid w:val="009E7D87"/>
    <w:rsid w:val="009F00F8"/>
    <w:rsid w:val="009F083C"/>
    <w:rsid w:val="009F091C"/>
    <w:rsid w:val="009F20C5"/>
    <w:rsid w:val="009F253F"/>
    <w:rsid w:val="009F30F0"/>
    <w:rsid w:val="009F33E8"/>
    <w:rsid w:val="009F34A5"/>
    <w:rsid w:val="009F370B"/>
    <w:rsid w:val="009F4B1F"/>
    <w:rsid w:val="009F4E63"/>
    <w:rsid w:val="009F5AE5"/>
    <w:rsid w:val="009F62AE"/>
    <w:rsid w:val="009F7CE6"/>
    <w:rsid w:val="00A002C7"/>
    <w:rsid w:val="00A0056F"/>
    <w:rsid w:val="00A01A89"/>
    <w:rsid w:val="00A01E22"/>
    <w:rsid w:val="00A02920"/>
    <w:rsid w:val="00A029CD"/>
    <w:rsid w:val="00A032A5"/>
    <w:rsid w:val="00A04177"/>
    <w:rsid w:val="00A043FB"/>
    <w:rsid w:val="00A04559"/>
    <w:rsid w:val="00A04818"/>
    <w:rsid w:val="00A04EAE"/>
    <w:rsid w:val="00A05935"/>
    <w:rsid w:val="00A05F58"/>
    <w:rsid w:val="00A07947"/>
    <w:rsid w:val="00A11E01"/>
    <w:rsid w:val="00A12507"/>
    <w:rsid w:val="00A12FDE"/>
    <w:rsid w:val="00A1317E"/>
    <w:rsid w:val="00A13F6A"/>
    <w:rsid w:val="00A14062"/>
    <w:rsid w:val="00A14620"/>
    <w:rsid w:val="00A14C9A"/>
    <w:rsid w:val="00A15251"/>
    <w:rsid w:val="00A1537C"/>
    <w:rsid w:val="00A15F37"/>
    <w:rsid w:val="00A163BF"/>
    <w:rsid w:val="00A16491"/>
    <w:rsid w:val="00A16CE5"/>
    <w:rsid w:val="00A170A2"/>
    <w:rsid w:val="00A1718C"/>
    <w:rsid w:val="00A17784"/>
    <w:rsid w:val="00A17CB0"/>
    <w:rsid w:val="00A17CB9"/>
    <w:rsid w:val="00A201C4"/>
    <w:rsid w:val="00A21656"/>
    <w:rsid w:val="00A2177E"/>
    <w:rsid w:val="00A22EBE"/>
    <w:rsid w:val="00A23024"/>
    <w:rsid w:val="00A23BC3"/>
    <w:rsid w:val="00A24DAB"/>
    <w:rsid w:val="00A260FE"/>
    <w:rsid w:val="00A26E6D"/>
    <w:rsid w:val="00A30349"/>
    <w:rsid w:val="00A30771"/>
    <w:rsid w:val="00A30FFA"/>
    <w:rsid w:val="00A316AD"/>
    <w:rsid w:val="00A3255B"/>
    <w:rsid w:val="00A32693"/>
    <w:rsid w:val="00A351B0"/>
    <w:rsid w:val="00A353EC"/>
    <w:rsid w:val="00A3554D"/>
    <w:rsid w:val="00A3633D"/>
    <w:rsid w:val="00A36A00"/>
    <w:rsid w:val="00A36DCA"/>
    <w:rsid w:val="00A36EDD"/>
    <w:rsid w:val="00A37EDC"/>
    <w:rsid w:val="00A41657"/>
    <w:rsid w:val="00A42710"/>
    <w:rsid w:val="00A429DF"/>
    <w:rsid w:val="00A432B7"/>
    <w:rsid w:val="00A44022"/>
    <w:rsid w:val="00A44CA0"/>
    <w:rsid w:val="00A44E06"/>
    <w:rsid w:val="00A4691A"/>
    <w:rsid w:val="00A5001A"/>
    <w:rsid w:val="00A503C2"/>
    <w:rsid w:val="00A50F22"/>
    <w:rsid w:val="00A516CA"/>
    <w:rsid w:val="00A52057"/>
    <w:rsid w:val="00A536C2"/>
    <w:rsid w:val="00A54343"/>
    <w:rsid w:val="00A54554"/>
    <w:rsid w:val="00A549B7"/>
    <w:rsid w:val="00A553BA"/>
    <w:rsid w:val="00A55893"/>
    <w:rsid w:val="00A56B6D"/>
    <w:rsid w:val="00A57794"/>
    <w:rsid w:val="00A57A72"/>
    <w:rsid w:val="00A57E9F"/>
    <w:rsid w:val="00A57EC2"/>
    <w:rsid w:val="00A6004A"/>
    <w:rsid w:val="00A60DA2"/>
    <w:rsid w:val="00A60E07"/>
    <w:rsid w:val="00A62170"/>
    <w:rsid w:val="00A62D1E"/>
    <w:rsid w:val="00A63C99"/>
    <w:rsid w:val="00A6413D"/>
    <w:rsid w:val="00A64366"/>
    <w:rsid w:val="00A65A69"/>
    <w:rsid w:val="00A660D5"/>
    <w:rsid w:val="00A66124"/>
    <w:rsid w:val="00A66434"/>
    <w:rsid w:val="00A66C10"/>
    <w:rsid w:val="00A678F5"/>
    <w:rsid w:val="00A70254"/>
    <w:rsid w:val="00A709C6"/>
    <w:rsid w:val="00A710AF"/>
    <w:rsid w:val="00A71544"/>
    <w:rsid w:val="00A73062"/>
    <w:rsid w:val="00A740EB"/>
    <w:rsid w:val="00A74857"/>
    <w:rsid w:val="00A763B5"/>
    <w:rsid w:val="00A767CC"/>
    <w:rsid w:val="00A768E7"/>
    <w:rsid w:val="00A76D7D"/>
    <w:rsid w:val="00A7741D"/>
    <w:rsid w:val="00A77505"/>
    <w:rsid w:val="00A77582"/>
    <w:rsid w:val="00A7776A"/>
    <w:rsid w:val="00A817EB"/>
    <w:rsid w:val="00A82A6F"/>
    <w:rsid w:val="00A83543"/>
    <w:rsid w:val="00A8422C"/>
    <w:rsid w:val="00A84299"/>
    <w:rsid w:val="00A84C96"/>
    <w:rsid w:val="00A851BB"/>
    <w:rsid w:val="00A8540B"/>
    <w:rsid w:val="00A85A9A"/>
    <w:rsid w:val="00A8632B"/>
    <w:rsid w:val="00A8667F"/>
    <w:rsid w:val="00A8685C"/>
    <w:rsid w:val="00A870BA"/>
    <w:rsid w:val="00A87E3B"/>
    <w:rsid w:val="00A90FC7"/>
    <w:rsid w:val="00A913FA"/>
    <w:rsid w:val="00A91D98"/>
    <w:rsid w:val="00A9236B"/>
    <w:rsid w:val="00A929DB"/>
    <w:rsid w:val="00A9338C"/>
    <w:rsid w:val="00A9386D"/>
    <w:rsid w:val="00A942DC"/>
    <w:rsid w:val="00A942ED"/>
    <w:rsid w:val="00A94685"/>
    <w:rsid w:val="00A947E7"/>
    <w:rsid w:val="00A94DEE"/>
    <w:rsid w:val="00A94FCD"/>
    <w:rsid w:val="00A95C74"/>
    <w:rsid w:val="00A9644E"/>
    <w:rsid w:val="00A965AD"/>
    <w:rsid w:val="00A96AA7"/>
    <w:rsid w:val="00A96EAC"/>
    <w:rsid w:val="00A97703"/>
    <w:rsid w:val="00AA00E6"/>
    <w:rsid w:val="00AA0321"/>
    <w:rsid w:val="00AA0A11"/>
    <w:rsid w:val="00AA0E80"/>
    <w:rsid w:val="00AA16B5"/>
    <w:rsid w:val="00AA173C"/>
    <w:rsid w:val="00AA1C49"/>
    <w:rsid w:val="00AA1C4E"/>
    <w:rsid w:val="00AA1F5E"/>
    <w:rsid w:val="00AA3391"/>
    <w:rsid w:val="00AA4B83"/>
    <w:rsid w:val="00AA5742"/>
    <w:rsid w:val="00AA5BEF"/>
    <w:rsid w:val="00AA7274"/>
    <w:rsid w:val="00AA75C8"/>
    <w:rsid w:val="00AA7FD8"/>
    <w:rsid w:val="00AB00AC"/>
    <w:rsid w:val="00AB144C"/>
    <w:rsid w:val="00AB1707"/>
    <w:rsid w:val="00AB181B"/>
    <w:rsid w:val="00AB19C7"/>
    <w:rsid w:val="00AB2331"/>
    <w:rsid w:val="00AB2D5D"/>
    <w:rsid w:val="00AB3789"/>
    <w:rsid w:val="00AB3796"/>
    <w:rsid w:val="00AB3A86"/>
    <w:rsid w:val="00AB3D92"/>
    <w:rsid w:val="00AB54EB"/>
    <w:rsid w:val="00AB71B1"/>
    <w:rsid w:val="00AB76AA"/>
    <w:rsid w:val="00AB7993"/>
    <w:rsid w:val="00AB7F04"/>
    <w:rsid w:val="00AC064E"/>
    <w:rsid w:val="00AC0CBE"/>
    <w:rsid w:val="00AC1A83"/>
    <w:rsid w:val="00AC1CFF"/>
    <w:rsid w:val="00AC1D6F"/>
    <w:rsid w:val="00AC3532"/>
    <w:rsid w:val="00AC369E"/>
    <w:rsid w:val="00AC3A2F"/>
    <w:rsid w:val="00AC4277"/>
    <w:rsid w:val="00AC4764"/>
    <w:rsid w:val="00AC4F7D"/>
    <w:rsid w:val="00AC5630"/>
    <w:rsid w:val="00AC6181"/>
    <w:rsid w:val="00AC6B6A"/>
    <w:rsid w:val="00AC72EF"/>
    <w:rsid w:val="00AD0DD6"/>
    <w:rsid w:val="00AD0EE0"/>
    <w:rsid w:val="00AD118F"/>
    <w:rsid w:val="00AD2049"/>
    <w:rsid w:val="00AD299B"/>
    <w:rsid w:val="00AD2FCA"/>
    <w:rsid w:val="00AD3519"/>
    <w:rsid w:val="00AD398E"/>
    <w:rsid w:val="00AD40CC"/>
    <w:rsid w:val="00AD5DFE"/>
    <w:rsid w:val="00AD5ECE"/>
    <w:rsid w:val="00AD5F13"/>
    <w:rsid w:val="00AD6164"/>
    <w:rsid w:val="00AD6230"/>
    <w:rsid w:val="00AD6D99"/>
    <w:rsid w:val="00AD6E42"/>
    <w:rsid w:val="00AD6FE3"/>
    <w:rsid w:val="00AD76D8"/>
    <w:rsid w:val="00AE006D"/>
    <w:rsid w:val="00AE0ABD"/>
    <w:rsid w:val="00AE0D19"/>
    <w:rsid w:val="00AE0D1A"/>
    <w:rsid w:val="00AE0E1C"/>
    <w:rsid w:val="00AE1006"/>
    <w:rsid w:val="00AE1C50"/>
    <w:rsid w:val="00AE1F80"/>
    <w:rsid w:val="00AE227D"/>
    <w:rsid w:val="00AE2351"/>
    <w:rsid w:val="00AE2B56"/>
    <w:rsid w:val="00AE2DAA"/>
    <w:rsid w:val="00AE3800"/>
    <w:rsid w:val="00AE3912"/>
    <w:rsid w:val="00AE3A93"/>
    <w:rsid w:val="00AE49C8"/>
    <w:rsid w:val="00AE49EB"/>
    <w:rsid w:val="00AE5891"/>
    <w:rsid w:val="00AE58BD"/>
    <w:rsid w:val="00AE5CF5"/>
    <w:rsid w:val="00AE6571"/>
    <w:rsid w:val="00AE6589"/>
    <w:rsid w:val="00AE6E14"/>
    <w:rsid w:val="00AE7AE8"/>
    <w:rsid w:val="00AE7BA8"/>
    <w:rsid w:val="00AE7BAC"/>
    <w:rsid w:val="00AF06AE"/>
    <w:rsid w:val="00AF07B6"/>
    <w:rsid w:val="00AF0A29"/>
    <w:rsid w:val="00AF2A43"/>
    <w:rsid w:val="00AF2A69"/>
    <w:rsid w:val="00AF2AB2"/>
    <w:rsid w:val="00AF3025"/>
    <w:rsid w:val="00AF316C"/>
    <w:rsid w:val="00AF35A8"/>
    <w:rsid w:val="00AF46A1"/>
    <w:rsid w:val="00AF6544"/>
    <w:rsid w:val="00AF6F69"/>
    <w:rsid w:val="00AF7600"/>
    <w:rsid w:val="00AF77BB"/>
    <w:rsid w:val="00AF78EE"/>
    <w:rsid w:val="00AF7BB9"/>
    <w:rsid w:val="00B02543"/>
    <w:rsid w:val="00B0257F"/>
    <w:rsid w:val="00B03AA3"/>
    <w:rsid w:val="00B04B54"/>
    <w:rsid w:val="00B060B5"/>
    <w:rsid w:val="00B06DAD"/>
    <w:rsid w:val="00B06FCB"/>
    <w:rsid w:val="00B106A8"/>
    <w:rsid w:val="00B11C88"/>
    <w:rsid w:val="00B12133"/>
    <w:rsid w:val="00B1225C"/>
    <w:rsid w:val="00B1267A"/>
    <w:rsid w:val="00B142DA"/>
    <w:rsid w:val="00B152D1"/>
    <w:rsid w:val="00B16F40"/>
    <w:rsid w:val="00B16FF4"/>
    <w:rsid w:val="00B20B91"/>
    <w:rsid w:val="00B20BA8"/>
    <w:rsid w:val="00B21390"/>
    <w:rsid w:val="00B22149"/>
    <w:rsid w:val="00B225E1"/>
    <w:rsid w:val="00B22D97"/>
    <w:rsid w:val="00B2379F"/>
    <w:rsid w:val="00B253CB"/>
    <w:rsid w:val="00B259E9"/>
    <w:rsid w:val="00B261FE"/>
    <w:rsid w:val="00B268E2"/>
    <w:rsid w:val="00B30C38"/>
    <w:rsid w:val="00B30CD1"/>
    <w:rsid w:val="00B32DF5"/>
    <w:rsid w:val="00B33020"/>
    <w:rsid w:val="00B331F9"/>
    <w:rsid w:val="00B333E2"/>
    <w:rsid w:val="00B33799"/>
    <w:rsid w:val="00B33A0F"/>
    <w:rsid w:val="00B33E6D"/>
    <w:rsid w:val="00B34702"/>
    <w:rsid w:val="00B35262"/>
    <w:rsid w:val="00B37370"/>
    <w:rsid w:val="00B378D9"/>
    <w:rsid w:val="00B37D41"/>
    <w:rsid w:val="00B37F78"/>
    <w:rsid w:val="00B402F3"/>
    <w:rsid w:val="00B40413"/>
    <w:rsid w:val="00B404F8"/>
    <w:rsid w:val="00B42722"/>
    <w:rsid w:val="00B42C48"/>
    <w:rsid w:val="00B434F0"/>
    <w:rsid w:val="00B43776"/>
    <w:rsid w:val="00B438B9"/>
    <w:rsid w:val="00B443FD"/>
    <w:rsid w:val="00B4469F"/>
    <w:rsid w:val="00B44DFB"/>
    <w:rsid w:val="00B44FBB"/>
    <w:rsid w:val="00B45FA1"/>
    <w:rsid w:val="00B467C3"/>
    <w:rsid w:val="00B468B0"/>
    <w:rsid w:val="00B46C64"/>
    <w:rsid w:val="00B47913"/>
    <w:rsid w:val="00B47E7A"/>
    <w:rsid w:val="00B47FF7"/>
    <w:rsid w:val="00B504ED"/>
    <w:rsid w:val="00B514EE"/>
    <w:rsid w:val="00B51EFD"/>
    <w:rsid w:val="00B5208D"/>
    <w:rsid w:val="00B52A21"/>
    <w:rsid w:val="00B52A6F"/>
    <w:rsid w:val="00B52E4C"/>
    <w:rsid w:val="00B52EB6"/>
    <w:rsid w:val="00B54A6F"/>
    <w:rsid w:val="00B55B2E"/>
    <w:rsid w:val="00B5746F"/>
    <w:rsid w:val="00B57A0E"/>
    <w:rsid w:val="00B602DC"/>
    <w:rsid w:val="00B60B6F"/>
    <w:rsid w:val="00B60B8E"/>
    <w:rsid w:val="00B617B1"/>
    <w:rsid w:val="00B6196E"/>
    <w:rsid w:val="00B62044"/>
    <w:rsid w:val="00B62241"/>
    <w:rsid w:val="00B62249"/>
    <w:rsid w:val="00B636D3"/>
    <w:rsid w:val="00B63724"/>
    <w:rsid w:val="00B63B7B"/>
    <w:rsid w:val="00B6433D"/>
    <w:rsid w:val="00B643DC"/>
    <w:rsid w:val="00B648FE"/>
    <w:rsid w:val="00B65243"/>
    <w:rsid w:val="00B65AC0"/>
    <w:rsid w:val="00B67608"/>
    <w:rsid w:val="00B67AF0"/>
    <w:rsid w:val="00B67ED4"/>
    <w:rsid w:val="00B70B15"/>
    <w:rsid w:val="00B7131E"/>
    <w:rsid w:val="00B71791"/>
    <w:rsid w:val="00B72C88"/>
    <w:rsid w:val="00B733A3"/>
    <w:rsid w:val="00B7630C"/>
    <w:rsid w:val="00B77ABD"/>
    <w:rsid w:val="00B8048C"/>
    <w:rsid w:val="00B80BC2"/>
    <w:rsid w:val="00B81043"/>
    <w:rsid w:val="00B8143F"/>
    <w:rsid w:val="00B81621"/>
    <w:rsid w:val="00B81BF9"/>
    <w:rsid w:val="00B81DF0"/>
    <w:rsid w:val="00B82814"/>
    <w:rsid w:val="00B829D9"/>
    <w:rsid w:val="00B82A0A"/>
    <w:rsid w:val="00B82CB7"/>
    <w:rsid w:val="00B8343D"/>
    <w:rsid w:val="00B83A57"/>
    <w:rsid w:val="00B83C7C"/>
    <w:rsid w:val="00B83F3A"/>
    <w:rsid w:val="00B84127"/>
    <w:rsid w:val="00B842E3"/>
    <w:rsid w:val="00B849B3"/>
    <w:rsid w:val="00B84DAB"/>
    <w:rsid w:val="00B85D43"/>
    <w:rsid w:val="00B861CF"/>
    <w:rsid w:val="00B8632C"/>
    <w:rsid w:val="00B86437"/>
    <w:rsid w:val="00B86853"/>
    <w:rsid w:val="00B8713D"/>
    <w:rsid w:val="00B87409"/>
    <w:rsid w:val="00B87413"/>
    <w:rsid w:val="00B90276"/>
    <w:rsid w:val="00B91C4D"/>
    <w:rsid w:val="00B91CE5"/>
    <w:rsid w:val="00B91E0B"/>
    <w:rsid w:val="00B91EC2"/>
    <w:rsid w:val="00B9236E"/>
    <w:rsid w:val="00B925E2"/>
    <w:rsid w:val="00B92AD8"/>
    <w:rsid w:val="00B93801"/>
    <w:rsid w:val="00B93C1F"/>
    <w:rsid w:val="00B9548B"/>
    <w:rsid w:val="00B95657"/>
    <w:rsid w:val="00B956A7"/>
    <w:rsid w:val="00B95AB4"/>
    <w:rsid w:val="00B95AC9"/>
    <w:rsid w:val="00B9650D"/>
    <w:rsid w:val="00B966BF"/>
    <w:rsid w:val="00B969A1"/>
    <w:rsid w:val="00B977F0"/>
    <w:rsid w:val="00B97FF3"/>
    <w:rsid w:val="00BA09C6"/>
    <w:rsid w:val="00BA1307"/>
    <w:rsid w:val="00BA145A"/>
    <w:rsid w:val="00BA17CD"/>
    <w:rsid w:val="00BA20EC"/>
    <w:rsid w:val="00BA21F1"/>
    <w:rsid w:val="00BA24E2"/>
    <w:rsid w:val="00BA33BA"/>
    <w:rsid w:val="00BA3550"/>
    <w:rsid w:val="00BA3B3D"/>
    <w:rsid w:val="00BA3C27"/>
    <w:rsid w:val="00BA4467"/>
    <w:rsid w:val="00BA6030"/>
    <w:rsid w:val="00BA656E"/>
    <w:rsid w:val="00BA6A19"/>
    <w:rsid w:val="00BA6A54"/>
    <w:rsid w:val="00BA797E"/>
    <w:rsid w:val="00BB067E"/>
    <w:rsid w:val="00BB0EB3"/>
    <w:rsid w:val="00BB15E0"/>
    <w:rsid w:val="00BB1BD9"/>
    <w:rsid w:val="00BB1D90"/>
    <w:rsid w:val="00BB37DA"/>
    <w:rsid w:val="00BB4260"/>
    <w:rsid w:val="00BB4C83"/>
    <w:rsid w:val="00BB4E70"/>
    <w:rsid w:val="00BC0390"/>
    <w:rsid w:val="00BC0A33"/>
    <w:rsid w:val="00BC1113"/>
    <w:rsid w:val="00BC1693"/>
    <w:rsid w:val="00BC27F8"/>
    <w:rsid w:val="00BC2EEB"/>
    <w:rsid w:val="00BC5307"/>
    <w:rsid w:val="00BC6965"/>
    <w:rsid w:val="00BC6FC7"/>
    <w:rsid w:val="00BC749B"/>
    <w:rsid w:val="00BC77FE"/>
    <w:rsid w:val="00BC7A34"/>
    <w:rsid w:val="00BD2013"/>
    <w:rsid w:val="00BD20CE"/>
    <w:rsid w:val="00BD224B"/>
    <w:rsid w:val="00BD28FB"/>
    <w:rsid w:val="00BD2E5A"/>
    <w:rsid w:val="00BD3045"/>
    <w:rsid w:val="00BD32C4"/>
    <w:rsid w:val="00BD3D6C"/>
    <w:rsid w:val="00BD3D87"/>
    <w:rsid w:val="00BD43AF"/>
    <w:rsid w:val="00BD4479"/>
    <w:rsid w:val="00BD4AB9"/>
    <w:rsid w:val="00BD6382"/>
    <w:rsid w:val="00BD6493"/>
    <w:rsid w:val="00BD668B"/>
    <w:rsid w:val="00BD6749"/>
    <w:rsid w:val="00BD7D73"/>
    <w:rsid w:val="00BE06C3"/>
    <w:rsid w:val="00BE0CE8"/>
    <w:rsid w:val="00BE12CF"/>
    <w:rsid w:val="00BE175A"/>
    <w:rsid w:val="00BE218B"/>
    <w:rsid w:val="00BE2CEE"/>
    <w:rsid w:val="00BE351A"/>
    <w:rsid w:val="00BE3BE5"/>
    <w:rsid w:val="00BE3EB2"/>
    <w:rsid w:val="00BE480B"/>
    <w:rsid w:val="00BE486A"/>
    <w:rsid w:val="00BE6860"/>
    <w:rsid w:val="00BE759F"/>
    <w:rsid w:val="00BE7FB4"/>
    <w:rsid w:val="00BF1E83"/>
    <w:rsid w:val="00BF343B"/>
    <w:rsid w:val="00BF3761"/>
    <w:rsid w:val="00BF3916"/>
    <w:rsid w:val="00BF3CB5"/>
    <w:rsid w:val="00BF41CA"/>
    <w:rsid w:val="00BF44D6"/>
    <w:rsid w:val="00BF53B4"/>
    <w:rsid w:val="00BF566F"/>
    <w:rsid w:val="00BF6237"/>
    <w:rsid w:val="00BF676B"/>
    <w:rsid w:val="00BF6A80"/>
    <w:rsid w:val="00BF78B4"/>
    <w:rsid w:val="00C01246"/>
    <w:rsid w:val="00C01476"/>
    <w:rsid w:val="00C01EF4"/>
    <w:rsid w:val="00C029D3"/>
    <w:rsid w:val="00C043F9"/>
    <w:rsid w:val="00C045A5"/>
    <w:rsid w:val="00C04622"/>
    <w:rsid w:val="00C04DED"/>
    <w:rsid w:val="00C04E12"/>
    <w:rsid w:val="00C0514C"/>
    <w:rsid w:val="00C06A1E"/>
    <w:rsid w:val="00C06EF1"/>
    <w:rsid w:val="00C0761C"/>
    <w:rsid w:val="00C076E2"/>
    <w:rsid w:val="00C07C17"/>
    <w:rsid w:val="00C11AFE"/>
    <w:rsid w:val="00C12434"/>
    <w:rsid w:val="00C12733"/>
    <w:rsid w:val="00C12CFC"/>
    <w:rsid w:val="00C13298"/>
    <w:rsid w:val="00C139C0"/>
    <w:rsid w:val="00C13CEF"/>
    <w:rsid w:val="00C13F6C"/>
    <w:rsid w:val="00C14722"/>
    <w:rsid w:val="00C14938"/>
    <w:rsid w:val="00C203CB"/>
    <w:rsid w:val="00C22C85"/>
    <w:rsid w:val="00C2308A"/>
    <w:rsid w:val="00C236D8"/>
    <w:rsid w:val="00C23794"/>
    <w:rsid w:val="00C23ECD"/>
    <w:rsid w:val="00C24A30"/>
    <w:rsid w:val="00C24D21"/>
    <w:rsid w:val="00C25902"/>
    <w:rsid w:val="00C25B27"/>
    <w:rsid w:val="00C26887"/>
    <w:rsid w:val="00C27399"/>
    <w:rsid w:val="00C302DA"/>
    <w:rsid w:val="00C317E2"/>
    <w:rsid w:val="00C31B95"/>
    <w:rsid w:val="00C326AD"/>
    <w:rsid w:val="00C32F73"/>
    <w:rsid w:val="00C32FDE"/>
    <w:rsid w:val="00C3336A"/>
    <w:rsid w:val="00C3383B"/>
    <w:rsid w:val="00C340B5"/>
    <w:rsid w:val="00C342DF"/>
    <w:rsid w:val="00C3559B"/>
    <w:rsid w:val="00C35A9E"/>
    <w:rsid w:val="00C35EC7"/>
    <w:rsid w:val="00C3678C"/>
    <w:rsid w:val="00C37373"/>
    <w:rsid w:val="00C37949"/>
    <w:rsid w:val="00C379B5"/>
    <w:rsid w:val="00C40424"/>
    <w:rsid w:val="00C40667"/>
    <w:rsid w:val="00C41D79"/>
    <w:rsid w:val="00C42578"/>
    <w:rsid w:val="00C42ABD"/>
    <w:rsid w:val="00C44EF3"/>
    <w:rsid w:val="00C452C2"/>
    <w:rsid w:val="00C45D06"/>
    <w:rsid w:val="00C4609A"/>
    <w:rsid w:val="00C5076E"/>
    <w:rsid w:val="00C53D59"/>
    <w:rsid w:val="00C53EB0"/>
    <w:rsid w:val="00C54243"/>
    <w:rsid w:val="00C54F46"/>
    <w:rsid w:val="00C5529D"/>
    <w:rsid w:val="00C55B84"/>
    <w:rsid w:val="00C55EF4"/>
    <w:rsid w:val="00C5644D"/>
    <w:rsid w:val="00C56734"/>
    <w:rsid w:val="00C56C59"/>
    <w:rsid w:val="00C57014"/>
    <w:rsid w:val="00C6004E"/>
    <w:rsid w:val="00C60683"/>
    <w:rsid w:val="00C623D4"/>
    <w:rsid w:val="00C6268F"/>
    <w:rsid w:val="00C631EB"/>
    <w:rsid w:val="00C657E4"/>
    <w:rsid w:val="00C659DB"/>
    <w:rsid w:val="00C65EE6"/>
    <w:rsid w:val="00C66720"/>
    <w:rsid w:val="00C66D87"/>
    <w:rsid w:val="00C6725C"/>
    <w:rsid w:val="00C67AD3"/>
    <w:rsid w:val="00C67B54"/>
    <w:rsid w:val="00C70E4F"/>
    <w:rsid w:val="00C714F1"/>
    <w:rsid w:val="00C7220C"/>
    <w:rsid w:val="00C7367D"/>
    <w:rsid w:val="00C747FD"/>
    <w:rsid w:val="00C74B14"/>
    <w:rsid w:val="00C75F33"/>
    <w:rsid w:val="00C76BFB"/>
    <w:rsid w:val="00C80AD1"/>
    <w:rsid w:val="00C815D9"/>
    <w:rsid w:val="00C81DEC"/>
    <w:rsid w:val="00C82090"/>
    <w:rsid w:val="00C82146"/>
    <w:rsid w:val="00C8252F"/>
    <w:rsid w:val="00C827E6"/>
    <w:rsid w:val="00C83275"/>
    <w:rsid w:val="00C832F8"/>
    <w:rsid w:val="00C84519"/>
    <w:rsid w:val="00C85ADE"/>
    <w:rsid w:val="00C85FF0"/>
    <w:rsid w:val="00C860EA"/>
    <w:rsid w:val="00C86CEB"/>
    <w:rsid w:val="00C86D0F"/>
    <w:rsid w:val="00C86D67"/>
    <w:rsid w:val="00C86D8A"/>
    <w:rsid w:val="00C86E80"/>
    <w:rsid w:val="00C86F90"/>
    <w:rsid w:val="00C87003"/>
    <w:rsid w:val="00C87E9A"/>
    <w:rsid w:val="00C902BE"/>
    <w:rsid w:val="00C90AAF"/>
    <w:rsid w:val="00C910B0"/>
    <w:rsid w:val="00C91D7B"/>
    <w:rsid w:val="00C927E9"/>
    <w:rsid w:val="00C92D3E"/>
    <w:rsid w:val="00C93499"/>
    <w:rsid w:val="00C9352B"/>
    <w:rsid w:val="00C9354B"/>
    <w:rsid w:val="00C9421C"/>
    <w:rsid w:val="00C94D28"/>
    <w:rsid w:val="00C95049"/>
    <w:rsid w:val="00C95C63"/>
    <w:rsid w:val="00C96947"/>
    <w:rsid w:val="00C96BE4"/>
    <w:rsid w:val="00C96FFD"/>
    <w:rsid w:val="00CA1E26"/>
    <w:rsid w:val="00CA27EF"/>
    <w:rsid w:val="00CA2E69"/>
    <w:rsid w:val="00CA3BF5"/>
    <w:rsid w:val="00CA3C75"/>
    <w:rsid w:val="00CA417E"/>
    <w:rsid w:val="00CA48DF"/>
    <w:rsid w:val="00CA5121"/>
    <w:rsid w:val="00CA6499"/>
    <w:rsid w:val="00CA694B"/>
    <w:rsid w:val="00CA70A9"/>
    <w:rsid w:val="00CA7134"/>
    <w:rsid w:val="00CA74DA"/>
    <w:rsid w:val="00CA7599"/>
    <w:rsid w:val="00CB147C"/>
    <w:rsid w:val="00CB17EB"/>
    <w:rsid w:val="00CB1A2F"/>
    <w:rsid w:val="00CB2534"/>
    <w:rsid w:val="00CB3A66"/>
    <w:rsid w:val="00CB4085"/>
    <w:rsid w:val="00CB40EE"/>
    <w:rsid w:val="00CB480F"/>
    <w:rsid w:val="00CB4DE5"/>
    <w:rsid w:val="00CB4EEE"/>
    <w:rsid w:val="00CB58E6"/>
    <w:rsid w:val="00CB5D33"/>
    <w:rsid w:val="00CB5F89"/>
    <w:rsid w:val="00CB61D0"/>
    <w:rsid w:val="00CB69A2"/>
    <w:rsid w:val="00CB6B4C"/>
    <w:rsid w:val="00CB7634"/>
    <w:rsid w:val="00CB7E83"/>
    <w:rsid w:val="00CC0C21"/>
    <w:rsid w:val="00CC0D18"/>
    <w:rsid w:val="00CC1E54"/>
    <w:rsid w:val="00CC2642"/>
    <w:rsid w:val="00CC2BB4"/>
    <w:rsid w:val="00CC304C"/>
    <w:rsid w:val="00CC362E"/>
    <w:rsid w:val="00CC3E8F"/>
    <w:rsid w:val="00CC54F8"/>
    <w:rsid w:val="00CC563E"/>
    <w:rsid w:val="00CC57F5"/>
    <w:rsid w:val="00CC59C3"/>
    <w:rsid w:val="00CC6D4F"/>
    <w:rsid w:val="00CC783D"/>
    <w:rsid w:val="00CD08BF"/>
    <w:rsid w:val="00CD17AB"/>
    <w:rsid w:val="00CD1FB0"/>
    <w:rsid w:val="00CD2F19"/>
    <w:rsid w:val="00CD3186"/>
    <w:rsid w:val="00CD353A"/>
    <w:rsid w:val="00CD3D51"/>
    <w:rsid w:val="00CD4307"/>
    <w:rsid w:val="00CD46A9"/>
    <w:rsid w:val="00CD4764"/>
    <w:rsid w:val="00CD554A"/>
    <w:rsid w:val="00CD6751"/>
    <w:rsid w:val="00CD6DDE"/>
    <w:rsid w:val="00CD73AE"/>
    <w:rsid w:val="00CD7590"/>
    <w:rsid w:val="00CE13D0"/>
    <w:rsid w:val="00CE19E4"/>
    <w:rsid w:val="00CE2285"/>
    <w:rsid w:val="00CE2B36"/>
    <w:rsid w:val="00CE2D06"/>
    <w:rsid w:val="00CE2E24"/>
    <w:rsid w:val="00CE2F93"/>
    <w:rsid w:val="00CE3148"/>
    <w:rsid w:val="00CE3900"/>
    <w:rsid w:val="00CE42E5"/>
    <w:rsid w:val="00CE5C09"/>
    <w:rsid w:val="00CE6825"/>
    <w:rsid w:val="00CE74E2"/>
    <w:rsid w:val="00CE7ADA"/>
    <w:rsid w:val="00CE7B19"/>
    <w:rsid w:val="00CE7E8F"/>
    <w:rsid w:val="00CF001A"/>
    <w:rsid w:val="00CF0C3B"/>
    <w:rsid w:val="00CF10E0"/>
    <w:rsid w:val="00CF12BB"/>
    <w:rsid w:val="00CF2027"/>
    <w:rsid w:val="00CF242B"/>
    <w:rsid w:val="00CF3571"/>
    <w:rsid w:val="00CF3976"/>
    <w:rsid w:val="00CF410A"/>
    <w:rsid w:val="00CF4585"/>
    <w:rsid w:val="00CF6A2B"/>
    <w:rsid w:val="00CF792F"/>
    <w:rsid w:val="00CF79E9"/>
    <w:rsid w:val="00CF7DD0"/>
    <w:rsid w:val="00D00185"/>
    <w:rsid w:val="00D0099D"/>
    <w:rsid w:val="00D00B5A"/>
    <w:rsid w:val="00D012AA"/>
    <w:rsid w:val="00D018BB"/>
    <w:rsid w:val="00D01F3F"/>
    <w:rsid w:val="00D02C3B"/>
    <w:rsid w:val="00D037B8"/>
    <w:rsid w:val="00D03B6F"/>
    <w:rsid w:val="00D03CFF"/>
    <w:rsid w:val="00D043FA"/>
    <w:rsid w:val="00D04440"/>
    <w:rsid w:val="00D04595"/>
    <w:rsid w:val="00D05BCB"/>
    <w:rsid w:val="00D05E13"/>
    <w:rsid w:val="00D0639D"/>
    <w:rsid w:val="00D0640C"/>
    <w:rsid w:val="00D07321"/>
    <w:rsid w:val="00D07FEC"/>
    <w:rsid w:val="00D10403"/>
    <w:rsid w:val="00D10449"/>
    <w:rsid w:val="00D109D3"/>
    <w:rsid w:val="00D13055"/>
    <w:rsid w:val="00D131DA"/>
    <w:rsid w:val="00D13D99"/>
    <w:rsid w:val="00D13FD4"/>
    <w:rsid w:val="00D14929"/>
    <w:rsid w:val="00D14CC0"/>
    <w:rsid w:val="00D1588E"/>
    <w:rsid w:val="00D158A8"/>
    <w:rsid w:val="00D177BC"/>
    <w:rsid w:val="00D20523"/>
    <w:rsid w:val="00D20B94"/>
    <w:rsid w:val="00D20F65"/>
    <w:rsid w:val="00D21145"/>
    <w:rsid w:val="00D211E9"/>
    <w:rsid w:val="00D2133B"/>
    <w:rsid w:val="00D21EA3"/>
    <w:rsid w:val="00D22AB0"/>
    <w:rsid w:val="00D233D5"/>
    <w:rsid w:val="00D23736"/>
    <w:rsid w:val="00D23818"/>
    <w:rsid w:val="00D23A40"/>
    <w:rsid w:val="00D23AC9"/>
    <w:rsid w:val="00D241E5"/>
    <w:rsid w:val="00D24BE2"/>
    <w:rsid w:val="00D24D12"/>
    <w:rsid w:val="00D255DE"/>
    <w:rsid w:val="00D2653D"/>
    <w:rsid w:val="00D2664E"/>
    <w:rsid w:val="00D267DB"/>
    <w:rsid w:val="00D268F2"/>
    <w:rsid w:val="00D26BA7"/>
    <w:rsid w:val="00D26D17"/>
    <w:rsid w:val="00D27687"/>
    <w:rsid w:val="00D27712"/>
    <w:rsid w:val="00D279C0"/>
    <w:rsid w:val="00D27F15"/>
    <w:rsid w:val="00D3082D"/>
    <w:rsid w:val="00D31621"/>
    <w:rsid w:val="00D3332F"/>
    <w:rsid w:val="00D34337"/>
    <w:rsid w:val="00D34512"/>
    <w:rsid w:val="00D34A20"/>
    <w:rsid w:val="00D352FE"/>
    <w:rsid w:val="00D35628"/>
    <w:rsid w:val="00D369DA"/>
    <w:rsid w:val="00D36A14"/>
    <w:rsid w:val="00D4038E"/>
    <w:rsid w:val="00D432D8"/>
    <w:rsid w:val="00D43B2B"/>
    <w:rsid w:val="00D4406F"/>
    <w:rsid w:val="00D44B6F"/>
    <w:rsid w:val="00D453B9"/>
    <w:rsid w:val="00D457C9"/>
    <w:rsid w:val="00D461C5"/>
    <w:rsid w:val="00D46470"/>
    <w:rsid w:val="00D466E0"/>
    <w:rsid w:val="00D46EEA"/>
    <w:rsid w:val="00D5083E"/>
    <w:rsid w:val="00D50EB4"/>
    <w:rsid w:val="00D518E3"/>
    <w:rsid w:val="00D51B01"/>
    <w:rsid w:val="00D526F5"/>
    <w:rsid w:val="00D54E9B"/>
    <w:rsid w:val="00D5506E"/>
    <w:rsid w:val="00D55465"/>
    <w:rsid w:val="00D578D0"/>
    <w:rsid w:val="00D57990"/>
    <w:rsid w:val="00D57A45"/>
    <w:rsid w:val="00D607A1"/>
    <w:rsid w:val="00D61210"/>
    <w:rsid w:val="00D6125F"/>
    <w:rsid w:val="00D61302"/>
    <w:rsid w:val="00D6135D"/>
    <w:rsid w:val="00D615E7"/>
    <w:rsid w:val="00D61893"/>
    <w:rsid w:val="00D629AC"/>
    <w:rsid w:val="00D635D3"/>
    <w:rsid w:val="00D637C1"/>
    <w:rsid w:val="00D64D44"/>
    <w:rsid w:val="00D65C33"/>
    <w:rsid w:val="00D66049"/>
    <w:rsid w:val="00D67A0E"/>
    <w:rsid w:val="00D703AC"/>
    <w:rsid w:val="00D70889"/>
    <w:rsid w:val="00D71538"/>
    <w:rsid w:val="00D71F46"/>
    <w:rsid w:val="00D72DDE"/>
    <w:rsid w:val="00D731A5"/>
    <w:rsid w:val="00D73351"/>
    <w:rsid w:val="00D739A6"/>
    <w:rsid w:val="00D73E7D"/>
    <w:rsid w:val="00D7463D"/>
    <w:rsid w:val="00D74D0B"/>
    <w:rsid w:val="00D7531F"/>
    <w:rsid w:val="00D758F0"/>
    <w:rsid w:val="00D75AB7"/>
    <w:rsid w:val="00D75C68"/>
    <w:rsid w:val="00D7720A"/>
    <w:rsid w:val="00D7762C"/>
    <w:rsid w:val="00D77A13"/>
    <w:rsid w:val="00D804FF"/>
    <w:rsid w:val="00D80F0C"/>
    <w:rsid w:val="00D824C2"/>
    <w:rsid w:val="00D829B4"/>
    <w:rsid w:val="00D83103"/>
    <w:rsid w:val="00D83244"/>
    <w:rsid w:val="00D835C8"/>
    <w:rsid w:val="00D83A66"/>
    <w:rsid w:val="00D85062"/>
    <w:rsid w:val="00D861D7"/>
    <w:rsid w:val="00D8620E"/>
    <w:rsid w:val="00D862C5"/>
    <w:rsid w:val="00D8650E"/>
    <w:rsid w:val="00D8698E"/>
    <w:rsid w:val="00D87906"/>
    <w:rsid w:val="00D87B94"/>
    <w:rsid w:val="00D9037E"/>
    <w:rsid w:val="00D90597"/>
    <w:rsid w:val="00D908E6"/>
    <w:rsid w:val="00D91021"/>
    <w:rsid w:val="00D9171E"/>
    <w:rsid w:val="00D91B09"/>
    <w:rsid w:val="00D92209"/>
    <w:rsid w:val="00D927D7"/>
    <w:rsid w:val="00D92CAD"/>
    <w:rsid w:val="00D92E14"/>
    <w:rsid w:val="00D93BC7"/>
    <w:rsid w:val="00D93E96"/>
    <w:rsid w:val="00D94394"/>
    <w:rsid w:val="00D94CDE"/>
    <w:rsid w:val="00D951A3"/>
    <w:rsid w:val="00D95E71"/>
    <w:rsid w:val="00D95E79"/>
    <w:rsid w:val="00D9604A"/>
    <w:rsid w:val="00D968C5"/>
    <w:rsid w:val="00D96BA7"/>
    <w:rsid w:val="00D974F2"/>
    <w:rsid w:val="00D975BB"/>
    <w:rsid w:val="00DA0814"/>
    <w:rsid w:val="00DA12A3"/>
    <w:rsid w:val="00DA24F9"/>
    <w:rsid w:val="00DA258B"/>
    <w:rsid w:val="00DA29B2"/>
    <w:rsid w:val="00DA3BAB"/>
    <w:rsid w:val="00DA4188"/>
    <w:rsid w:val="00DA47E2"/>
    <w:rsid w:val="00DA4B20"/>
    <w:rsid w:val="00DA5329"/>
    <w:rsid w:val="00DA5607"/>
    <w:rsid w:val="00DA561D"/>
    <w:rsid w:val="00DA59FE"/>
    <w:rsid w:val="00DA7D2E"/>
    <w:rsid w:val="00DA7FDA"/>
    <w:rsid w:val="00DB19F1"/>
    <w:rsid w:val="00DB32E2"/>
    <w:rsid w:val="00DB3633"/>
    <w:rsid w:val="00DB4AF4"/>
    <w:rsid w:val="00DB6208"/>
    <w:rsid w:val="00DB704B"/>
    <w:rsid w:val="00DB7153"/>
    <w:rsid w:val="00DB7EE7"/>
    <w:rsid w:val="00DC03F7"/>
    <w:rsid w:val="00DC0642"/>
    <w:rsid w:val="00DC076B"/>
    <w:rsid w:val="00DC0FD7"/>
    <w:rsid w:val="00DC143D"/>
    <w:rsid w:val="00DC1784"/>
    <w:rsid w:val="00DC19F9"/>
    <w:rsid w:val="00DC21E6"/>
    <w:rsid w:val="00DC2289"/>
    <w:rsid w:val="00DC2594"/>
    <w:rsid w:val="00DC2B0B"/>
    <w:rsid w:val="00DC366D"/>
    <w:rsid w:val="00DC45D1"/>
    <w:rsid w:val="00DC46DE"/>
    <w:rsid w:val="00DC4F30"/>
    <w:rsid w:val="00DC5557"/>
    <w:rsid w:val="00DC5B84"/>
    <w:rsid w:val="00DC5BB4"/>
    <w:rsid w:val="00DC62D2"/>
    <w:rsid w:val="00DC6584"/>
    <w:rsid w:val="00DC7B07"/>
    <w:rsid w:val="00DD07F7"/>
    <w:rsid w:val="00DD088B"/>
    <w:rsid w:val="00DD09ED"/>
    <w:rsid w:val="00DD0B77"/>
    <w:rsid w:val="00DD0F62"/>
    <w:rsid w:val="00DD2A6B"/>
    <w:rsid w:val="00DD2F4F"/>
    <w:rsid w:val="00DD4EA8"/>
    <w:rsid w:val="00DD54BC"/>
    <w:rsid w:val="00DD55A2"/>
    <w:rsid w:val="00DD58C3"/>
    <w:rsid w:val="00DD6E8D"/>
    <w:rsid w:val="00DD7386"/>
    <w:rsid w:val="00DD7A8B"/>
    <w:rsid w:val="00DE089C"/>
    <w:rsid w:val="00DE098A"/>
    <w:rsid w:val="00DE2058"/>
    <w:rsid w:val="00DE3D4F"/>
    <w:rsid w:val="00DE4D4F"/>
    <w:rsid w:val="00DE51B6"/>
    <w:rsid w:val="00DE5DF9"/>
    <w:rsid w:val="00DE5E55"/>
    <w:rsid w:val="00DE606E"/>
    <w:rsid w:val="00DE71EE"/>
    <w:rsid w:val="00DE7EC4"/>
    <w:rsid w:val="00DF1275"/>
    <w:rsid w:val="00DF212B"/>
    <w:rsid w:val="00DF3242"/>
    <w:rsid w:val="00DF3A1A"/>
    <w:rsid w:val="00DF400F"/>
    <w:rsid w:val="00DF4DCD"/>
    <w:rsid w:val="00DF5E95"/>
    <w:rsid w:val="00DF6440"/>
    <w:rsid w:val="00DF7478"/>
    <w:rsid w:val="00DF7867"/>
    <w:rsid w:val="00DF7D1F"/>
    <w:rsid w:val="00DF7DF4"/>
    <w:rsid w:val="00DF7E15"/>
    <w:rsid w:val="00E0024F"/>
    <w:rsid w:val="00E00691"/>
    <w:rsid w:val="00E015AD"/>
    <w:rsid w:val="00E02493"/>
    <w:rsid w:val="00E0259B"/>
    <w:rsid w:val="00E02F01"/>
    <w:rsid w:val="00E0589F"/>
    <w:rsid w:val="00E060DE"/>
    <w:rsid w:val="00E063C7"/>
    <w:rsid w:val="00E07560"/>
    <w:rsid w:val="00E07815"/>
    <w:rsid w:val="00E079CD"/>
    <w:rsid w:val="00E07FE5"/>
    <w:rsid w:val="00E101C0"/>
    <w:rsid w:val="00E1213D"/>
    <w:rsid w:val="00E122B0"/>
    <w:rsid w:val="00E122CA"/>
    <w:rsid w:val="00E12C3A"/>
    <w:rsid w:val="00E13D3B"/>
    <w:rsid w:val="00E13D61"/>
    <w:rsid w:val="00E14C31"/>
    <w:rsid w:val="00E151D3"/>
    <w:rsid w:val="00E15228"/>
    <w:rsid w:val="00E15781"/>
    <w:rsid w:val="00E157AE"/>
    <w:rsid w:val="00E16114"/>
    <w:rsid w:val="00E168D3"/>
    <w:rsid w:val="00E16C0D"/>
    <w:rsid w:val="00E204BA"/>
    <w:rsid w:val="00E21021"/>
    <w:rsid w:val="00E2129A"/>
    <w:rsid w:val="00E21674"/>
    <w:rsid w:val="00E22A7F"/>
    <w:rsid w:val="00E22CCF"/>
    <w:rsid w:val="00E24D82"/>
    <w:rsid w:val="00E24FA3"/>
    <w:rsid w:val="00E25ABE"/>
    <w:rsid w:val="00E25AD7"/>
    <w:rsid w:val="00E26423"/>
    <w:rsid w:val="00E27AC5"/>
    <w:rsid w:val="00E3011B"/>
    <w:rsid w:val="00E30274"/>
    <w:rsid w:val="00E30B45"/>
    <w:rsid w:val="00E315EA"/>
    <w:rsid w:val="00E31D64"/>
    <w:rsid w:val="00E32167"/>
    <w:rsid w:val="00E332CD"/>
    <w:rsid w:val="00E33FEF"/>
    <w:rsid w:val="00E34D91"/>
    <w:rsid w:val="00E35BCA"/>
    <w:rsid w:val="00E36647"/>
    <w:rsid w:val="00E408BB"/>
    <w:rsid w:val="00E4163B"/>
    <w:rsid w:val="00E41AF5"/>
    <w:rsid w:val="00E42214"/>
    <w:rsid w:val="00E429B1"/>
    <w:rsid w:val="00E43B85"/>
    <w:rsid w:val="00E44038"/>
    <w:rsid w:val="00E4425A"/>
    <w:rsid w:val="00E445C1"/>
    <w:rsid w:val="00E4518F"/>
    <w:rsid w:val="00E4521F"/>
    <w:rsid w:val="00E46A0A"/>
    <w:rsid w:val="00E509FF"/>
    <w:rsid w:val="00E5171F"/>
    <w:rsid w:val="00E51F3A"/>
    <w:rsid w:val="00E53B73"/>
    <w:rsid w:val="00E54B97"/>
    <w:rsid w:val="00E54F28"/>
    <w:rsid w:val="00E553F1"/>
    <w:rsid w:val="00E55408"/>
    <w:rsid w:val="00E55562"/>
    <w:rsid w:val="00E55F16"/>
    <w:rsid w:val="00E576D9"/>
    <w:rsid w:val="00E60011"/>
    <w:rsid w:val="00E60A2F"/>
    <w:rsid w:val="00E60F2E"/>
    <w:rsid w:val="00E61312"/>
    <w:rsid w:val="00E62719"/>
    <w:rsid w:val="00E62D04"/>
    <w:rsid w:val="00E63018"/>
    <w:rsid w:val="00E630CE"/>
    <w:rsid w:val="00E6416D"/>
    <w:rsid w:val="00E64FE7"/>
    <w:rsid w:val="00E65723"/>
    <w:rsid w:val="00E65B99"/>
    <w:rsid w:val="00E65E78"/>
    <w:rsid w:val="00E65FB1"/>
    <w:rsid w:val="00E66A64"/>
    <w:rsid w:val="00E67963"/>
    <w:rsid w:val="00E67DFA"/>
    <w:rsid w:val="00E70532"/>
    <w:rsid w:val="00E70FA3"/>
    <w:rsid w:val="00E7101D"/>
    <w:rsid w:val="00E71318"/>
    <w:rsid w:val="00E71DA8"/>
    <w:rsid w:val="00E72910"/>
    <w:rsid w:val="00E733C5"/>
    <w:rsid w:val="00E73A37"/>
    <w:rsid w:val="00E73D15"/>
    <w:rsid w:val="00E744EE"/>
    <w:rsid w:val="00E752C7"/>
    <w:rsid w:val="00E7565A"/>
    <w:rsid w:val="00E76280"/>
    <w:rsid w:val="00E76A3F"/>
    <w:rsid w:val="00E7759B"/>
    <w:rsid w:val="00E8078D"/>
    <w:rsid w:val="00E809F2"/>
    <w:rsid w:val="00E814AB"/>
    <w:rsid w:val="00E81988"/>
    <w:rsid w:val="00E81C24"/>
    <w:rsid w:val="00E81DF6"/>
    <w:rsid w:val="00E81E82"/>
    <w:rsid w:val="00E825FB"/>
    <w:rsid w:val="00E8270E"/>
    <w:rsid w:val="00E82C60"/>
    <w:rsid w:val="00E82DDD"/>
    <w:rsid w:val="00E835BC"/>
    <w:rsid w:val="00E83A70"/>
    <w:rsid w:val="00E83D76"/>
    <w:rsid w:val="00E8480A"/>
    <w:rsid w:val="00E84A6A"/>
    <w:rsid w:val="00E85BA7"/>
    <w:rsid w:val="00E86688"/>
    <w:rsid w:val="00E86A95"/>
    <w:rsid w:val="00E87293"/>
    <w:rsid w:val="00E87531"/>
    <w:rsid w:val="00E87A46"/>
    <w:rsid w:val="00E901A2"/>
    <w:rsid w:val="00E90277"/>
    <w:rsid w:val="00E90795"/>
    <w:rsid w:val="00E90A3F"/>
    <w:rsid w:val="00E92169"/>
    <w:rsid w:val="00E92997"/>
    <w:rsid w:val="00E92BBB"/>
    <w:rsid w:val="00E92CB0"/>
    <w:rsid w:val="00E944CF"/>
    <w:rsid w:val="00E94E36"/>
    <w:rsid w:val="00E959BD"/>
    <w:rsid w:val="00E95AA4"/>
    <w:rsid w:val="00E96123"/>
    <w:rsid w:val="00E96B7E"/>
    <w:rsid w:val="00E97044"/>
    <w:rsid w:val="00E978E2"/>
    <w:rsid w:val="00E9799F"/>
    <w:rsid w:val="00EA0064"/>
    <w:rsid w:val="00EA0731"/>
    <w:rsid w:val="00EA1AAE"/>
    <w:rsid w:val="00EA2710"/>
    <w:rsid w:val="00EA368C"/>
    <w:rsid w:val="00EA49B1"/>
    <w:rsid w:val="00EA4C3F"/>
    <w:rsid w:val="00EA5134"/>
    <w:rsid w:val="00EA739B"/>
    <w:rsid w:val="00EA75FA"/>
    <w:rsid w:val="00EA78E7"/>
    <w:rsid w:val="00EA7EA5"/>
    <w:rsid w:val="00EB0E5C"/>
    <w:rsid w:val="00EB1097"/>
    <w:rsid w:val="00EB196D"/>
    <w:rsid w:val="00EB1BFD"/>
    <w:rsid w:val="00EB1E80"/>
    <w:rsid w:val="00EB1ED5"/>
    <w:rsid w:val="00EB1FAA"/>
    <w:rsid w:val="00EB29D0"/>
    <w:rsid w:val="00EB337A"/>
    <w:rsid w:val="00EB39DB"/>
    <w:rsid w:val="00EB3F2A"/>
    <w:rsid w:val="00EB4794"/>
    <w:rsid w:val="00EB546C"/>
    <w:rsid w:val="00EB56B3"/>
    <w:rsid w:val="00EB5D02"/>
    <w:rsid w:val="00EB5F42"/>
    <w:rsid w:val="00EB68FC"/>
    <w:rsid w:val="00EB76C5"/>
    <w:rsid w:val="00EB7782"/>
    <w:rsid w:val="00EC0291"/>
    <w:rsid w:val="00EC0A02"/>
    <w:rsid w:val="00EC1251"/>
    <w:rsid w:val="00EC1F63"/>
    <w:rsid w:val="00EC4E4A"/>
    <w:rsid w:val="00EC5831"/>
    <w:rsid w:val="00EC5BD2"/>
    <w:rsid w:val="00EC66AE"/>
    <w:rsid w:val="00EC728B"/>
    <w:rsid w:val="00EC766A"/>
    <w:rsid w:val="00EC790F"/>
    <w:rsid w:val="00EC7B43"/>
    <w:rsid w:val="00ED051B"/>
    <w:rsid w:val="00ED0D7A"/>
    <w:rsid w:val="00ED0FD3"/>
    <w:rsid w:val="00ED1479"/>
    <w:rsid w:val="00ED25C4"/>
    <w:rsid w:val="00ED2761"/>
    <w:rsid w:val="00ED3F68"/>
    <w:rsid w:val="00ED4880"/>
    <w:rsid w:val="00ED4CAC"/>
    <w:rsid w:val="00ED4CC6"/>
    <w:rsid w:val="00ED5292"/>
    <w:rsid w:val="00ED54FD"/>
    <w:rsid w:val="00ED5E77"/>
    <w:rsid w:val="00ED6357"/>
    <w:rsid w:val="00ED646B"/>
    <w:rsid w:val="00ED7069"/>
    <w:rsid w:val="00ED73A2"/>
    <w:rsid w:val="00EE00A3"/>
    <w:rsid w:val="00EE1C0D"/>
    <w:rsid w:val="00EE1FDF"/>
    <w:rsid w:val="00EE2892"/>
    <w:rsid w:val="00EE3352"/>
    <w:rsid w:val="00EE335B"/>
    <w:rsid w:val="00EE3509"/>
    <w:rsid w:val="00EE3E7B"/>
    <w:rsid w:val="00EE41D1"/>
    <w:rsid w:val="00EE4F1B"/>
    <w:rsid w:val="00EE555B"/>
    <w:rsid w:val="00EE5BE2"/>
    <w:rsid w:val="00EE5F7D"/>
    <w:rsid w:val="00EE6D03"/>
    <w:rsid w:val="00EE73C3"/>
    <w:rsid w:val="00EE79D7"/>
    <w:rsid w:val="00EF3089"/>
    <w:rsid w:val="00EF33D3"/>
    <w:rsid w:val="00EF4B86"/>
    <w:rsid w:val="00EF7C7B"/>
    <w:rsid w:val="00F00416"/>
    <w:rsid w:val="00F00CBB"/>
    <w:rsid w:val="00F00F41"/>
    <w:rsid w:val="00F0232A"/>
    <w:rsid w:val="00F026F9"/>
    <w:rsid w:val="00F02E50"/>
    <w:rsid w:val="00F030AB"/>
    <w:rsid w:val="00F04244"/>
    <w:rsid w:val="00F04C97"/>
    <w:rsid w:val="00F0504F"/>
    <w:rsid w:val="00F0542D"/>
    <w:rsid w:val="00F065BB"/>
    <w:rsid w:val="00F069FF"/>
    <w:rsid w:val="00F06BC5"/>
    <w:rsid w:val="00F07302"/>
    <w:rsid w:val="00F07B93"/>
    <w:rsid w:val="00F100F0"/>
    <w:rsid w:val="00F12A2B"/>
    <w:rsid w:val="00F12A6D"/>
    <w:rsid w:val="00F130AB"/>
    <w:rsid w:val="00F131F1"/>
    <w:rsid w:val="00F1360D"/>
    <w:rsid w:val="00F136E1"/>
    <w:rsid w:val="00F13AD3"/>
    <w:rsid w:val="00F15C5C"/>
    <w:rsid w:val="00F15CF0"/>
    <w:rsid w:val="00F202E7"/>
    <w:rsid w:val="00F2038F"/>
    <w:rsid w:val="00F2070D"/>
    <w:rsid w:val="00F20839"/>
    <w:rsid w:val="00F210FE"/>
    <w:rsid w:val="00F211AB"/>
    <w:rsid w:val="00F21DCE"/>
    <w:rsid w:val="00F2270E"/>
    <w:rsid w:val="00F23117"/>
    <w:rsid w:val="00F23734"/>
    <w:rsid w:val="00F23813"/>
    <w:rsid w:val="00F2497E"/>
    <w:rsid w:val="00F26AE3"/>
    <w:rsid w:val="00F26FCA"/>
    <w:rsid w:val="00F273D2"/>
    <w:rsid w:val="00F27870"/>
    <w:rsid w:val="00F279D6"/>
    <w:rsid w:val="00F27C8F"/>
    <w:rsid w:val="00F27D7E"/>
    <w:rsid w:val="00F30382"/>
    <w:rsid w:val="00F305E8"/>
    <w:rsid w:val="00F314CF"/>
    <w:rsid w:val="00F31FA5"/>
    <w:rsid w:val="00F32382"/>
    <w:rsid w:val="00F32BB6"/>
    <w:rsid w:val="00F33A14"/>
    <w:rsid w:val="00F33D92"/>
    <w:rsid w:val="00F349CD"/>
    <w:rsid w:val="00F34F2F"/>
    <w:rsid w:val="00F35EA4"/>
    <w:rsid w:val="00F36303"/>
    <w:rsid w:val="00F368E1"/>
    <w:rsid w:val="00F37902"/>
    <w:rsid w:val="00F37B40"/>
    <w:rsid w:val="00F416D7"/>
    <w:rsid w:val="00F4175B"/>
    <w:rsid w:val="00F42334"/>
    <w:rsid w:val="00F43529"/>
    <w:rsid w:val="00F437C3"/>
    <w:rsid w:val="00F43E51"/>
    <w:rsid w:val="00F443D8"/>
    <w:rsid w:val="00F44AE6"/>
    <w:rsid w:val="00F4511B"/>
    <w:rsid w:val="00F451F8"/>
    <w:rsid w:val="00F45393"/>
    <w:rsid w:val="00F45414"/>
    <w:rsid w:val="00F45786"/>
    <w:rsid w:val="00F458AE"/>
    <w:rsid w:val="00F4615F"/>
    <w:rsid w:val="00F46355"/>
    <w:rsid w:val="00F4645B"/>
    <w:rsid w:val="00F46596"/>
    <w:rsid w:val="00F51511"/>
    <w:rsid w:val="00F51535"/>
    <w:rsid w:val="00F51BAA"/>
    <w:rsid w:val="00F52402"/>
    <w:rsid w:val="00F52DCE"/>
    <w:rsid w:val="00F539BA"/>
    <w:rsid w:val="00F54BBB"/>
    <w:rsid w:val="00F54E3B"/>
    <w:rsid w:val="00F55609"/>
    <w:rsid w:val="00F55C34"/>
    <w:rsid w:val="00F56196"/>
    <w:rsid w:val="00F56548"/>
    <w:rsid w:val="00F56BFE"/>
    <w:rsid w:val="00F571E9"/>
    <w:rsid w:val="00F57374"/>
    <w:rsid w:val="00F602CD"/>
    <w:rsid w:val="00F60335"/>
    <w:rsid w:val="00F60F05"/>
    <w:rsid w:val="00F61369"/>
    <w:rsid w:val="00F62E72"/>
    <w:rsid w:val="00F6333B"/>
    <w:rsid w:val="00F633B5"/>
    <w:rsid w:val="00F639D2"/>
    <w:rsid w:val="00F64349"/>
    <w:rsid w:val="00F64953"/>
    <w:rsid w:val="00F70B77"/>
    <w:rsid w:val="00F72590"/>
    <w:rsid w:val="00F726BB"/>
    <w:rsid w:val="00F727C3"/>
    <w:rsid w:val="00F73499"/>
    <w:rsid w:val="00F738A4"/>
    <w:rsid w:val="00F739E2"/>
    <w:rsid w:val="00F74A22"/>
    <w:rsid w:val="00F74AAC"/>
    <w:rsid w:val="00F756A2"/>
    <w:rsid w:val="00F75800"/>
    <w:rsid w:val="00F75A5C"/>
    <w:rsid w:val="00F75ECE"/>
    <w:rsid w:val="00F761EA"/>
    <w:rsid w:val="00F7622F"/>
    <w:rsid w:val="00F80084"/>
    <w:rsid w:val="00F80142"/>
    <w:rsid w:val="00F80304"/>
    <w:rsid w:val="00F812EE"/>
    <w:rsid w:val="00F82002"/>
    <w:rsid w:val="00F8376F"/>
    <w:rsid w:val="00F83E69"/>
    <w:rsid w:val="00F85200"/>
    <w:rsid w:val="00F85E33"/>
    <w:rsid w:val="00F8618D"/>
    <w:rsid w:val="00F87EA4"/>
    <w:rsid w:val="00F90D77"/>
    <w:rsid w:val="00F924BE"/>
    <w:rsid w:val="00F938B2"/>
    <w:rsid w:val="00F93EA8"/>
    <w:rsid w:val="00F948E3"/>
    <w:rsid w:val="00F94F5B"/>
    <w:rsid w:val="00F95337"/>
    <w:rsid w:val="00F959DE"/>
    <w:rsid w:val="00F95B94"/>
    <w:rsid w:val="00F96F10"/>
    <w:rsid w:val="00FA0669"/>
    <w:rsid w:val="00FA0E7F"/>
    <w:rsid w:val="00FA137E"/>
    <w:rsid w:val="00FA236D"/>
    <w:rsid w:val="00FA26FE"/>
    <w:rsid w:val="00FA2E49"/>
    <w:rsid w:val="00FA302B"/>
    <w:rsid w:val="00FA3098"/>
    <w:rsid w:val="00FA43B0"/>
    <w:rsid w:val="00FA47EB"/>
    <w:rsid w:val="00FA4945"/>
    <w:rsid w:val="00FA4F2B"/>
    <w:rsid w:val="00FA588A"/>
    <w:rsid w:val="00FA5CE4"/>
    <w:rsid w:val="00FA6DCE"/>
    <w:rsid w:val="00FA79E9"/>
    <w:rsid w:val="00FA7C30"/>
    <w:rsid w:val="00FB01F7"/>
    <w:rsid w:val="00FB0E36"/>
    <w:rsid w:val="00FB1E3C"/>
    <w:rsid w:val="00FB2DFB"/>
    <w:rsid w:val="00FB304D"/>
    <w:rsid w:val="00FB3583"/>
    <w:rsid w:val="00FB381F"/>
    <w:rsid w:val="00FB4081"/>
    <w:rsid w:val="00FB4532"/>
    <w:rsid w:val="00FB4814"/>
    <w:rsid w:val="00FB53AB"/>
    <w:rsid w:val="00FB6D8C"/>
    <w:rsid w:val="00FB764B"/>
    <w:rsid w:val="00FB7757"/>
    <w:rsid w:val="00FB791D"/>
    <w:rsid w:val="00FB7FCF"/>
    <w:rsid w:val="00FC0D9F"/>
    <w:rsid w:val="00FC1647"/>
    <w:rsid w:val="00FC2357"/>
    <w:rsid w:val="00FC32F0"/>
    <w:rsid w:val="00FC37BB"/>
    <w:rsid w:val="00FC4A67"/>
    <w:rsid w:val="00FC4B77"/>
    <w:rsid w:val="00FC4ECD"/>
    <w:rsid w:val="00FC5812"/>
    <w:rsid w:val="00FC7599"/>
    <w:rsid w:val="00FC76AA"/>
    <w:rsid w:val="00FC7AA1"/>
    <w:rsid w:val="00FD0C77"/>
    <w:rsid w:val="00FD163E"/>
    <w:rsid w:val="00FD196E"/>
    <w:rsid w:val="00FD1EFD"/>
    <w:rsid w:val="00FD2911"/>
    <w:rsid w:val="00FD3BCD"/>
    <w:rsid w:val="00FD3F86"/>
    <w:rsid w:val="00FD4B58"/>
    <w:rsid w:val="00FD641A"/>
    <w:rsid w:val="00FD6915"/>
    <w:rsid w:val="00FD6F53"/>
    <w:rsid w:val="00FD7595"/>
    <w:rsid w:val="00FD7AFF"/>
    <w:rsid w:val="00FD7CF3"/>
    <w:rsid w:val="00FD7E30"/>
    <w:rsid w:val="00FE0146"/>
    <w:rsid w:val="00FE161F"/>
    <w:rsid w:val="00FE1992"/>
    <w:rsid w:val="00FE1D27"/>
    <w:rsid w:val="00FE1F63"/>
    <w:rsid w:val="00FE2632"/>
    <w:rsid w:val="00FE27AA"/>
    <w:rsid w:val="00FE3E0E"/>
    <w:rsid w:val="00FE464D"/>
    <w:rsid w:val="00FE498F"/>
    <w:rsid w:val="00FE4EE7"/>
    <w:rsid w:val="00FE5153"/>
    <w:rsid w:val="00FE532D"/>
    <w:rsid w:val="00FE6794"/>
    <w:rsid w:val="00FE6F02"/>
    <w:rsid w:val="00FE7EB5"/>
    <w:rsid w:val="00FF0E48"/>
    <w:rsid w:val="00FF1689"/>
    <w:rsid w:val="00FF1B4F"/>
    <w:rsid w:val="00FF23B6"/>
    <w:rsid w:val="00FF2783"/>
    <w:rsid w:val="00FF38F7"/>
    <w:rsid w:val="00FF3ABC"/>
    <w:rsid w:val="00FF4939"/>
    <w:rsid w:val="00FF4CA8"/>
    <w:rsid w:val="00FF5684"/>
    <w:rsid w:val="00FF5925"/>
    <w:rsid w:val="00FF5AA9"/>
    <w:rsid w:val="00FF6748"/>
    <w:rsid w:val="00FF6D74"/>
    <w:rsid w:val="00FF7B27"/>
    <w:rsid w:val="653C09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kern w:val="2"/>
      <w:sz w:val="21"/>
      <w:szCs w:val="24"/>
      <w:lang w:val="en-US" w:eastAsia="zh-CN" w:bidi="ar-SA"/>
    </w:rPr>
  </w:style>
  <w:style w:type="paragraph" w:styleId="2">
    <w:name w:val="heading 1"/>
    <w:basedOn w:val="1"/>
    <w:next w:val="1"/>
    <w:link w:val="44"/>
    <w:qFormat/>
    <w:uiPriority w:val="0"/>
    <w:pPr>
      <w:keepNext/>
      <w:spacing w:line="360" w:lineRule="auto"/>
      <w:jc w:val="center"/>
      <w:outlineLvl w:val="0"/>
    </w:pPr>
    <w:rPr>
      <w:rFonts w:ascii="宋体" w:hAnsi="宋体"/>
      <w:b/>
      <w:sz w:val="32"/>
      <w:lang w:val="zh-CN" w:eastAsia="zh-CN"/>
    </w:rPr>
  </w:style>
  <w:style w:type="paragraph" w:styleId="3">
    <w:name w:val="heading 2"/>
    <w:basedOn w:val="1"/>
    <w:next w:val="1"/>
    <w:link w:val="45"/>
    <w:qFormat/>
    <w:uiPriority w:val="9"/>
    <w:pPr>
      <w:keepNext/>
      <w:keepLines/>
      <w:spacing w:before="240" w:after="240" w:line="360" w:lineRule="auto"/>
      <w:jc w:val="center"/>
      <w:outlineLvl w:val="1"/>
    </w:pPr>
    <w:rPr>
      <w:b/>
      <w:bCs/>
      <w:sz w:val="28"/>
      <w:szCs w:val="32"/>
      <w:lang w:val="zh-CN" w:eastAsia="zh-CN"/>
    </w:rPr>
  </w:style>
  <w:style w:type="paragraph" w:styleId="4">
    <w:name w:val="heading 3"/>
    <w:basedOn w:val="1"/>
    <w:next w:val="1"/>
    <w:link w:val="65"/>
    <w:qFormat/>
    <w:uiPriority w:val="9"/>
    <w:pPr>
      <w:keepNext/>
      <w:keepLines/>
      <w:spacing w:before="260" w:after="260" w:line="416" w:lineRule="auto"/>
      <w:outlineLvl w:val="2"/>
    </w:pPr>
    <w:rPr>
      <w:b/>
      <w:bCs/>
      <w:sz w:val="32"/>
      <w:szCs w:val="32"/>
    </w:rPr>
  </w:style>
  <w:style w:type="paragraph" w:styleId="5">
    <w:name w:val="heading 4"/>
    <w:basedOn w:val="1"/>
    <w:next w:val="1"/>
    <w:link w:val="64"/>
    <w:qFormat/>
    <w:uiPriority w:val="0"/>
    <w:pPr>
      <w:keepNext/>
      <w:keepLines/>
      <w:widowControl w:val="0"/>
      <w:spacing w:before="280" w:after="290" w:line="376" w:lineRule="auto"/>
      <w:jc w:val="both"/>
      <w:outlineLvl w:val="3"/>
    </w:pPr>
    <w:rPr>
      <w:rFonts w:ascii="Arial" w:hAnsi="Arial" w:eastAsia="黑体"/>
      <w:b/>
      <w:bCs/>
      <w:sz w:val="28"/>
      <w:szCs w:val="28"/>
      <w:lang w:val="zh-CN" w:eastAsia="zh-CN"/>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List 3"/>
    <w:basedOn w:val="1"/>
    <w:qFormat/>
    <w:uiPriority w:val="0"/>
    <w:pPr>
      <w:widowControl w:val="0"/>
      <w:ind w:left="1260" w:hanging="420"/>
      <w:jc w:val="both"/>
    </w:pPr>
    <w:rPr>
      <w:rFonts w:cs="Angsana New"/>
      <w:szCs w:val="20"/>
    </w:rPr>
  </w:style>
  <w:style w:type="paragraph" w:styleId="7">
    <w:name w:val="toc 7"/>
    <w:basedOn w:val="1"/>
    <w:next w:val="1"/>
    <w:unhideWhenUsed/>
    <w:qFormat/>
    <w:uiPriority w:val="39"/>
    <w:pPr>
      <w:widowControl w:val="0"/>
      <w:ind w:left="2520" w:leftChars="1200"/>
      <w:jc w:val="both"/>
    </w:pPr>
    <w:rPr>
      <w:rFonts w:ascii="Calibri" w:hAnsi="Calibri"/>
      <w:szCs w:val="22"/>
    </w:rPr>
  </w:style>
  <w:style w:type="paragraph" w:styleId="8">
    <w:name w:val="Normal Indent"/>
    <w:basedOn w:val="1"/>
    <w:qFormat/>
    <w:uiPriority w:val="0"/>
    <w:pPr>
      <w:widowControl w:val="0"/>
      <w:autoSpaceDE w:val="0"/>
      <w:autoSpaceDN w:val="0"/>
      <w:adjustRightInd w:val="0"/>
      <w:spacing w:line="360" w:lineRule="atLeast"/>
      <w:ind w:firstLine="420"/>
      <w:textAlignment w:val="baseline"/>
    </w:pPr>
    <w:rPr>
      <w:rFonts w:hAnsi="Arial" w:cs="Angsana New"/>
      <w:kern w:val="0"/>
      <w:sz w:val="22"/>
      <w:szCs w:val="20"/>
    </w:rPr>
  </w:style>
  <w:style w:type="paragraph" w:styleId="9">
    <w:name w:val="caption"/>
    <w:basedOn w:val="1"/>
    <w:next w:val="1"/>
    <w:qFormat/>
    <w:uiPriority w:val="0"/>
    <w:rPr>
      <w:rFonts w:ascii="Calibri Light" w:hAnsi="Calibri Light" w:eastAsia="黑体"/>
      <w:sz w:val="20"/>
      <w:szCs w:val="20"/>
    </w:rPr>
  </w:style>
  <w:style w:type="paragraph" w:styleId="10">
    <w:name w:val="Document Map"/>
    <w:basedOn w:val="1"/>
    <w:link w:val="63"/>
    <w:qFormat/>
    <w:uiPriority w:val="0"/>
    <w:rPr>
      <w:rFonts w:ascii="宋体"/>
      <w:sz w:val="18"/>
      <w:szCs w:val="18"/>
      <w:lang w:val="zh-CN" w:eastAsia="zh-CN"/>
    </w:rPr>
  </w:style>
  <w:style w:type="paragraph" w:styleId="11">
    <w:name w:val="annotation text"/>
    <w:basedOn w:val="1"/>
    <w:link w:val="60"/>
    <w:qFormat/>
    <w:uiPriority w:val="0"/>
    <w:rPr>
      <w:sz w:val="20"/>
      <w:szCs w:val="20"/>
      <w:lang w:val="zh-CN" w:eastAsia="zh-CN"/>
    </w:rPr>
  </w:style>
  <w:style w:type="paragraph" w:styleId="12">
    <w:name w:val="Body Text"/>
    <w:basedOn w:val="1"/>
    <w:link w:val="86"/>
    <w:qFormat/>
    <w:uiPriority w:val="0"/>
    <w:pPr>
      <w:widowControl w:val="0"/>
      <w:spacing w:after="120"/>
      <w:jc w:val="both"/>
    </w:pPr>
    <w:rPr>
      <w:kern w:val="0"/>
      <w:sz w:val="20"/>
    </w:rPr>
  </w:style>
  <w:style w:type="paragraph" w:styleId="13">
    <w:name w:val="Body Text Indent"/>
    <w:basedOn w:val="1"/>
    <w:link w:val="84"/>
    <w:qFormat/>
    <w:uiPriority w:val="0"/>
    <w:pPr>
      <w:widowControl w:val="0"/>
      <w:spacing w:after="120"/>
      <w:ind w:left="420" w:leftChars="200"/>
      <w:jc w:val="both"/>
    </w:pPr>
    <w:rPr>
      <w:kern w:val="0"/>
      <w:sz w:val="20"/>
    </w:rPr>
  </w:style>
  <w:style w:type="paragraph" w:styleId="14">
    <w:name w:val="toc 5"/>
    <w:basedOn w:val="1"/>
    <w:next w:val="1"/>
    <w:unhideWhenUsed/>
    <w:qFormat/>
    <w:uiPriority w:val="39"/>
    <w:pPr>
      <w:widowControl w:val="0"/>
      <w:ind w:left="1680" w:leftChars="800"/>
      <w:jc w:val="both"/>
    </w:pPr>
    <w:rPr>
      <w:rFonts w:ascii="Calibri" w:hAnsi="Calibri"/>
      <w:szCs w:val="22"/>
    </w:rPr>
  </w:style>
  <w:style w:type="paragraph" w:styleId="15">
    <w:name w:val="toc 3"/>
    <w:basedOn w:val="1"/>
    <w:next w:val="1"/>
    <w:qFormat/>
    <w:uiPriority w:val="39"/>
    <w:pPr>
      <w:widowControl w:val="0"/>
      <w:ind w:left="840" w:leftChars="400"/>
      <w:jc w:val="both"/>
    </w:pPr>
    <w:rPr>
      <w:szCs w:val="20"/>
    </w:rPr>
  </w:style>
  <w:style w:type="paragraph" w:styleId="16">
    <w:name w:val="Plain Text"/>
    <w:basedOn w:val="1"/>
    <w:link w:val="72"/>
    <w:unhideWhenUsed/>
    <w:qFormat/>
    <w:uiPriority w:val="0"/>
    <w:pPr>
      <w:widowControl w:val="0"/>
      <w:jc w:val="both"/>
    </w:pPr>
    <w:rPr>
      <w:rFonts w:ascii="宋体" w:hAnsi="Courier New"/>
      <w:szCs w:val="21"/>
      <w:lang w:val="zh-CN" w:eastAsia="zh-CN"/>
    </w:rPr>
  </w:style>
  <w:style w:type="paragraph" w:styleId="17">
    <w:name w:val="toc 8"/>
    <w:basedOn w:val="1"/>
    <w:next w:val="1"/>
    <w:unhideWhenUsed/>
    <w:qFormat/>
    <w:uiPriority w:val="39"/>
    <w:pPr>
      <w:widowControl w:val="0"/>
      <w:ind w:left="2940" w:leftChars="1400"/>
      <w:jc w:val="both"/>
    </w:pPr>
    <w:rPr>
      <w:rFonts w:ascii="Calibri" w:hAnsi="Calibri"/>
      <w:szCs w:val="22"/>
    </w:rPr>
  </w:style>
  <w:style w:type="paragraph" w:styleId="18">
    <w:name w:val="Date"/>
    <w:basedOn w:val="1"/>
    <w:next w:val="1"/>
    <w:link w:val="66"/>
    <w:qFormat/>
    <w:uiPriority w:val="0"/>
    <w:pPr>
      <w:ind w:left="100" w:leftChars="2500"/>
    </w:pPr>
  </w:style>
  <w:style w:type="paragraph" w:styleId="19">
    <w:name w:val="Body Text Indent 2"/>
    <w:basedOn w:val="1"/>
    <w:link w:val="48"/>
    <w:qFormat/>
    <w:uiPriority w:val="0"/>
    <w:pPr>
      <w:snapToGrid w:val="0"/>
      <w:spacing w:line="360" w:lineRule="auto"/>
      <w:ind w:firstLine="560" w:firstLineChars="200"/>
    </w:pPr>
    <w:rPr>
      <w:sz w:val="28"/>
      <w:szCs w:val="18"/>
      <w:lang w:val="zh-CN" w:eastAsia="zh-CN"/>
    </w:rPr>
  </w:style>
  <w:style w:type="paragraph" w:styleId="20">
    <w:name w:val="endnote text"/>
    <w:basedOn w:val="1"/>
    <w:link w:val="79"/>
    <w:unhideWhenUsed/>
    <w:qFormat/>
    <w:uiPriority w:val="0"/>
    <w:pPr>
      <w:widowControl w:val="0"/>
      <w:snapToGrid w:val="0"/>
    </w:pPr>
    <w:rPr>
      <w:rFonts w:ascii="Calibri" w:hAnsi="Calibri"/>
      <w:kern w:val="0"/>
      <w:sz w:val="20"/>
      <w:szCs w:val="20"/>
    </w:rPr>
  </w:style>
  <w:style w:type="paragraph" w:styleId="21">
    <w:name w:val="Balloon Text"/>
    <w:basedOn w:val="1"/>
    <w:link w:val="51"/>
    <w:qFormat/>
    <w:uiPriority w:val="0"/>
    <w:rPr>
      <w:sz w:val="18"/>
      <w:szCs w:val="18"/>
      <w:lang w:val="zh-CN" w:eastAsia="zh-CN"/>
    </w:rPr>
  </w:style>
  <w:style w:type="paragraph" w:styleId="22">
    <w:name w:val="footer"/>
    <w:basedOn w:val="1"/>
    <w:link w:val="50"/>
    <w:qFormat/>
    <w:uiPriority w:val="99"/>
    <w:pPr>
      <w:tabs>
        <w:tab w:val="center" w:pos="4153"/>
        <w:tab w:val="right" w:pos="8306"/>
      </w:tabs>
      <w:snapToGrid w:val="0"/>
    </w:pPr>
    <w:rPr>
      <w:sz w:val="18"/>
      <w:szCs w:val="18"/>
      <w:lang w:val="zh-CN" w:eastAsia="zh-CN"/>
    </w:rPr>
  </w:style>
  <w:style w:type="paragraph" w:styleId="23">
    <w:name w:val="header"/>
    <w:basedOn w:val="1"/>
    <w:link w:val="55"/>
    <w:qFormat/>
    <w:uiPriority w:val="99"/>
    <w:pPr>
      <w:pBdr>
        <w:bottom w:val="single" w:color="auto" w:sz="6" w:space="1"/>
      </w:pBdr>
      <w:tabs>
        <w:tab w:val="center" w:pos="4153"/>
        <w:tab w:val="right" w:pos="8306"/>
      </w:tabs>
      <w:snapToGrid w:val="0"/>
      <w:jc w:val="center"/>
    </w:pPr>
    <w:rPr>
      <w:sz w:val="18"/>
      <w:szCs w:val="18"/>
      <w:lang w:val="zh-CN" w:eastAsia="zh-CN"/>
    </w:rPr>
  </w:style>
  <w:style w:type="paragraph" w:styleId="24">
    <w:name w:val="toc 1"/>
    <w:basedOn w:val="1"/>
    <w:next w:val="1"/>
    <w:qFormat/>
    <w:uiPriority w:val="39"/>
    <w:pPr>
      <w:widowControl w:val="0"/>
      <w:jc w:val="both"/>
    </w:pPr>
    <w:rPr>
      <w:szCs w:val="20"/>
    </w:rPr>
  </w:style>
  <w:style w:type="paragraph" w:styleId="25">
    <w:name w:val="toc 4"/>
    <w:basedOn w:val="1"/>
    <w:next w:val="1"/>
    <w:unhideWhenUsed/>
    <w:qFormat/>
    <w:uiPriority w:val="39"/>
    <w:pPr>
      <w:widowControl w:val="0"/>
      <w:ind w:left="1260" w:leftChars="600"/>
      <w:jc w:val="both"/>
    </w:pPr>
    <w:rPr>
      <w:rFonts w:ascii="Calibri" w:hAnsi="Calibri"/>
      <w:szCs w:val="22"/>
    </w:rPr>
  </w:style>
  <w:style w:type="paragraph" w:styleId="26">
    <w:name w:val="footnote text"/>
    <w:basedOn w:val="1"/>
    <w:link w:val="46"/>
    <w:unhideWhenUsed/>
    <w:qFormat/>
    <w:uiPriority w:val="0"/>
    <w:pPr>
      <w:snapToGrid w:val="0"/>
    </w:pPr>
    <w:rPr>
      <w:sz w:val="18"/>
      <w:szCs w:val="18"/>
      <w:lang w:val="zh-CN" w:eastAsia="zh-CN"/>
    </w:rPr>
  </w:style>
  <w:style w:type="paragraph" w:styleId="27">
    <w:name w:val="toc 6"/>
    <w:basedOn w:val="1"/>
    <w:next w:val="1"/>
    <w:unhideWhenUsed/>
    <w:qFormat/>
    <w:uiPriority w:val="39"/>
    <w:pPr>
      <w:widowControl w:val="0"/>
      <w:ind w:left="2100" w:leftChars="1000"/>
      <w:jc w:val="both"/>
    </w:pPr>
    <w:rPr>
      <w:rFonts w:ascii="Calibri" w:hAnsi="Calibri"/>
      <w:szCs w:val="22"/>
    </w:rPr>
  </w:style>
  <w:style w:type="paragraph" w:styleId="28">
    <w:name w:val="Body Text Indent 3"/>
    <w:basedOn w:val="1"/>
    <w:link w:val="75"/>
    <w:qFormat/>
    <w:uiPriority w:val="0"/>
    <w:pPr>
      <w:widowControl w:val="0"/>
      <w:ind w:left="2"/>
      <w:jc w:val="both"/>
    </w:pPr>
    <w:rPr>
      <w:kern w:val="0"/>
      <w:sz w:val="18"/>
    </w:rPr>
  </w:style>
  <w:style w:type="paragraph" w:styleId="29">
    <w:name w:val="toc 2"/>
    <w:basedOn w:val="1"/>
    <w:next w:val="1"/>
    <w:link w:val="58"/>
    <w:qFormat/>
    <w:uiPriority w:val="39"/>
    <w:pPr>
      <w:widowControl w:val="0"/>
      <w:ind w:left="420" w:leftChars="200"/>
      <w:jc w:val="both"/>
    </w:pPr>
    <w:rPr>
      <w:szCs w:val="20"/>
      <w:lang w:val="zh-CN" w:eastAsia="zh-CN"/>
    </w:rPr>
  </w:style>
  <w:style w:type="paragraph" w:styleId="30">
    <w:name w:val="toc 9"/>
    <w:basedOn w:val="1"/>
    <w:next w:val="1"/>
    <w:unhideWhenUsed/>
    <w:qFormat/>
    <w:uiPriority w:val="39"/>
    <w:pPr>
      <w:widowControl w:val="0"/>
      <w:ind w:left="3360" w:leftChars="1600"/>
      <w:jc w:val="both"/>
    </w:pPr>
    <w:rPr>
      <w:rFonts w:ascii="Calibri" w:hAnsi="Calibri"/>
      <w:szCs w:val="22"/>
    </w:rPr>
  </w:style>
  <w:style w:type="paragraph" w:styleId="31">
    <w:name w:val="Body Text 2"/>
    <w:basedOn w:val="1"/>
    <w:link w:val="77"/>
    <w:qFormat/>
    <w:uiPriority w:val="0"/>
    <w:pPr>
      <w:widowControl w:val="0"/>
      <w:jc w:val="center"/>
    </w:pPr>
    <w:rPr>
      <w:rFonts w:eastAsia="黑体"/>
      <w:kern w:val="0"/>
      <w:sz w:val="44"/>
    </w:rPr>
  </w:style>
  <w:style w:type="paragraph" w:styleId="32">
    <w:name w:val="Normal (Web)"/>
    <w:basedOn w:val="1"/>
    <w:qFormat/>
    <w:uiPriority w:val="99"/>
    <w:pPr>
      <w:spacing w:before="100" w:beforeAutospacing="1" w:after="100" w:afterAutospacing="1"/>
    </w:pPr>
    <w:rPr>
      <w:rFonts w:ascii="宋体" w:hAnsi="宋体" w:cs="宋体"/>
      <w:kern w:val="0"/>
      <w:sz w:val="24"/>
    </w:rPr>
  </w:style>
  <w:style w:type="paragraph" w:styleId="33">
    <w:name w:val="Title"/>
    <w:basedOn w:val="1"/>
    <w:next w:val="1"/>
    <w:link w:val="53"/>
    <w:qFormat/>
    <w:uiPriority w:val="10"/>
    <w:pPr>
      <w:spacing w:before="240" w:after="60"/>
      <w:jc w:val="center"/>
      <w:outlineLvl w:val="0"/>
    </w:pPr>
    <w:rPr>
      <w:rFonts w:ascii="Cambria" w:hAnsi="Cambria"/>
      <w:b/>
      <w:bCs/>
      <w:kern w:val="28"/>
      <w:sz w:val="32"/>
      <w:szCs w:val="32"/>
      <w:lang w:val="zh-CN" w:eastAsia="zh-CN"/>
    </w:rPr>
  </w:style>
  <w:style w:type="paragraph" w:styleId="34">
    <w:name w:val="annotation subject"/>
    <w:basedOn w:val="11"/>
    <w:next w:val="11"/>
    <w:link w:val="61"/>
    <w:qFormat/>
    <w:uiPriority w:val="0"/>
    <w:rPr>
      <w:b/>
      <w:bCs/>
    </w:r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basedOn w:val="37"/>
    <w:qFormat/>
    <w:uiPriority w:val="0"/>
  </w:style>
  <w:style w:type="character" w:styleId="39">
    <w:name w:val="FollowedHyperlink"/>
    <w:qFormat/>
    <w:uiPriority w:val="0"/>
    <w:rPr>
      <w:color w:val="800080"/>
      <w:u w:val="single"/>
    </w:rPr>
  </w:style>
  <w:style w:type="character" w:styleId="40">
    <w:name w:val="Emphasis"/>
    <w:qFormat/>
    <w:uiPriority w:val="20"/>
    <w:rPr>
      <w:i/>
      <w:iCs/>
    </w:rPr>
  </w:style>
  <w:style w:type="character" w:styleId="41">
    <w:name w:val="Hyperlink"/>
    <w:qFormat/>
    <w:uiPriority w:val="99"/>
    <w:rPr>
      <w:color w:val="0000FF"/>
      <w:u w:val="single"/>
    </w:rPr>
  </w:style>
  <w:style w:type="character" w:styleId="42">
    <w:name w:val="annotation reference"/>
    <w:qFormat/>
    <w:uiPriority w:val="0"/>
    <w:rPr>
      <w:sz w:val="16"/>
      <w:szCs w:val="16"/>
    </w:rPr>
  </w:style>
  <w:style w:type="character" w:styleId="43">
    <w:name w:val="footnote reference"/>
    <w:unhideWhenUsed/>
    <w:qFormat/>
    <w:uiPriority w:val="99"/>
    <w:rPr>
      <w:vertAlign w:val="superscript"/>
    </w:rPr>
  </w:style>
  <w:style w:type="character" w:customStyle="1" w:styleId="44">
    <w:name w:val="标题 1 字符"/>
    <w:link w:val="2"/>
    <w:qFormat/>
    <w:uiPriority w:val="0"/>
    <w:rPr>
      <w:rFonts w:ascii="宋体" w:hAnsi="宋体"/>
      <w:b/>
      <w:kern w:val="2"/>
      <w:sz w:val="32"/>
      <w:szCs w:val="24"/>
      <w:lang w:val="zh-CN" w:eastAsia="zh-CN"/>
    </w:rPr>
  </w:style>
  <w:style w:type="character" w:customStyle="1" w:styleId="45">
    <w:name w:val="标题 2 字符"/>
    <w:link w:val="3"/>
    <w:qFormat/>
    <w:uiPriority w:val="9"/>
    <w:rPr>
      <w:b/>
      <w:bCs/>
      <w:kern w:val="2"/>
      <w:sz w:val="28"/>
      <w:szCs w:val="32"/>
      <w:lang w:val="zh-CN" w:eastAsia="zh-CN"/>
    </w:rPr>
  </w:style>
  <w:style w:type="character" w:customStyle="1" w:styleId="46">
    <w:name w:val="脚注文本 字符"/>
    <w:link w:val="26"/>
    <w:qFormat/>
    <w:uiPriority w:val="0"/>
    <w:rPr>
      <w:kern w:val="2"/>
      <w:sz w:val="18"/>
      <w:szCs w:val="18"/>
    </w:rPr>
  </w:style>
  <w:style w:type="character" w:customStyle="1" w:styleId="47">
    <w:name w:val="脚注文本 Char1"/>
    <w:qFormat/>
    <w:uiPriority w:val="99"/>
    <w:rPr>
      <w:kern w:val="2"/>
      <w:sz w:val="18"/>
      <w:szCs w:val="18"/>
    </w:rPr>
  </w:style>
  <w:style w:type="character" w:customStyle="1" w:styleId="48">
    <w:name w:val="正文文本缩进 2 字符"/>
    <w:link w:val="19"/>
    <w:qFormat/>
    <w:uiPriority w:val="0"/>
    <w:rPr>
      <w:kern w:val="2"/>
      <w:sz w:val="28"/>
      <w:szCs w:val="18"/>
    </w:rPr>
  </w:style>
  <w:style w:type="paragraph" w:customStyle="1" w:styleId="49">
    <w:name w:val="TOC Heading"/>
    <w:basedOn w:val="2"/>
    <w:next w:val="1"/>
    <w:qFormat/>
    <w:uiPriority w:val="39"/>
    <w:pPr>
      <w:keepLines/>
      <w:spacing w:before="240" w:line="259" w:lineRule="auto"/>
      <w:jc w:val="left"/>
      <w:outlineLvl w:val="9"/>
    </w:pPr>
    <w:rPr>
      <w:rFonts w:ascii="Calibri Light" w:hAnsi="Calibri Light"/>
      <w:color w:val="2E74B5"/>
      <w:kern w:val="0"/>
      <w:szCs w:val="32"/>
    </w:rPr>
  </w:style>
  <w:style w:type="character" w:customStyle="1" w:styleId="50">
    <w:name w:val="页脚 字符1"/>
    <w:link w:val="22"/>
    <w:qFormat/>
    <w:uiPriority w:val="99"/>
    <w:rPr>
      <w:kern w:val="2"/>
      <w:sz w:val="18"/>
      <w:szCs w:val="18"/>
    </w:rPr>
  </w:style>
  <w:style w:type="character" w:customStyle="1" w:styleId="51">
    <w:name w:val="批注框文本 字符"/>
    <w:link w:val="21"/>
    <w:qFormat/>
    <w:uiPriority w:val="0"/>
    <w:rPr>
      <w:kern w:val="2"/>
      <w:sz w:val="18"/>
      <w:szCs w:val="18"/>
    </w:rPr>
  </w:style>
  <w:style w:type="paragraph" w:customStyle="1" w:styleId="52">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53">
    <w:name w:val="标题 字符"/>
    <w:link w:val="33"/>
    <w:qFormat/>
    <w:uiPriority w:val="10"/>
    <w:rPr>
      <w:rFonts w:ascii="Cambria" w:hAnsi="Cambria" w:eastAsia="宋体" w:cs="Times New Roman"/>
      <w:b/>
      <w:bCs/>
      <w:kern w:val="28"/>
      <w:sz w:val="32"/>
      <w:szCs w:val="32"/>
    </w:rPr>
  </w:style>
  <w:style w:type="paragraph" w:customStyle="1" w:styleId="54">
    <w:name w:val="Char Char"/>
    <w:basedOn w:val="1"/>
    <w:qFormat/>
    <w:uiPriority w:val="0"/>
    <w:pPr>
      <w:widowControl w:val="0"/>
      <w:jc w:val="both"/>
    </w:pPr>
  </w:style>
  <w:style w:type="character" w:customStyle="1" w:styleId="55">
    <w:name w:val="页眉 字符"/>
    <w:link w:val="23"/>
    <w:qFormat/>
    <w:uiPriority w:val="99"/>
    <w:rPr>
      <w:kern w:val="2"/>
      <w:sz w:val="18"/>
      <w:szCs w:val="18"/>
    </w:rPr>
  </w:style>
  <w:style w:type="paragraph" w:customStyle="1" w:styleId="56">
    <w:name w:val="Char Char Char Char"/>
    <w:basedOn w:val="1"/>
    <w:qFormat/>
    <w:uiPriority w:val="0"/>
    <w:pPr>
      <w:spacing w:after="160" w:line="240" w:lineRule="exact"/>
      <w:ind w:firstLine="200" w:firstLineChars="200"/>
    </w:pPr>
    <w:rPr>
      <w:szCs w:val="20"/>
    </w:rPr>
  </w:style>
  <w:style w:type="paragraph" w:customStyle="1" w:styleId="57">
    <w:name w:val="MTDisplayEquation"/>
    <w:basedOn w:val="29"/>
    <w:link w:val="59"/>
    <w:qFormat/>
    <w:uiPriority w:val="0"/>
    <w:pPr>
      <w:tabs>
        <w:tab w:val="right" w:leader="dot" w:pos="8494"/>
      </w:tabs>
    </w:pPr>
    <w:rPr>
      <w:b/>
    </w:rPr>
  </w:style>
  <w:style w:type="character" w:customStyle="1" w:styleId="58">
    <w:name w:val="TOC 2 字符"/>
    <w:link w:val="29"/>
    <w:qFormat/>
    <w:uiPriority w:val="39"/>
    <w:rPr>
      <w:kern w:val="2"/>
      <w:sz w:val="21"/>
    </w:rPr>
  </w:style>
  <w:style w:type="character" w:customStyle="1" w:styleId="59">
    <w:name w:val="MTDisplayEquation Char"/>
    <w:link w:val="57"/>
    <w:qFormat/>
    <w:uiPriority w:val="0"/>
    <w:rPr>
      <w:b/>
      <w:kern w:val="2"/>
      <w:sz w:val="21"/>
    </w:rPr>
  </w:style>
  <w:style w:type="character" w:customStyle="1" w:styleId="60">
    <w:name w:val="批注文字 字符"/>
    <w:link w:val="11"/>
    <w:qFormat/>
    <w:uiPriority w:val="0"/>
    <w:rPr>
      <w:kern w:val="2"/>
    </w:rPr>
  </w:style>
  <w:style w:type="character" w:customStyle="1" w:styleId="61">
    <w:name w:val="批注主题 字符"/>
    <w:link w:val="34"/>
    <w:qFormat/>
    <w:uiPriority w:val="0"/>
    <w:rPr>
      <w:b/>
      <w:bCs/>
      <w:kern w:val="2"/>
    </w:rPr>
  </w:style>
  <w:style w:type="character" w:customStyle="1" w:styleId="62">
    <w:name w:val="apple-converted-space"/>
    <w:qFormat/>
    <w:uiPriority w:val="0"/>
  </w:style>
  <w:style w:type="character" w:customStyle="1" w:styleId="63">
    <w:name w:val="文档结构图 字符"/>
    <w:link w:val="10"/>
    <w:qFormat/>
    <w:uiPriority w:val="0"/>
    <w:rPr>
      <w:rFonts w:ascii="宋体"/>
      <w:kern w:val="2"/>
      <w:sz w:val="18"/>
      <w:szCs w:val="18"/>
    </w:rPr>
  </w:style>
  <w:style w:type="character" w:customStyle="1" w:styleId="64">
    <w:name w:val="标题 4 字符"/>
    <w:link w:val="5"/>
    <w:qFormat/>
    <w:uiPriority w:val="0"/>
    <w:rPr>
      <w:rFonts w:ascii="Arial" w:hAnsi="Arial" w:eastAsia="黑体"/>
      <w:b/>
      <w:bCs/>
      <w:kern w:val="2"/>
      <w:sz w:val="28"/>
      <w:szCs w:val="28"/>
      <w:lang w:val="zh-CN" w:eastAsia="zh-CN"/>
    </w:rPr>
  </w:style>
  <w:style w:type="character" w:customStyle="1" w:styleId="65">
    <w:name w:val="标题 3 字符"/>
    <w:link w:val="4"/>
    <w:qFormat/>
    <w:uiPriority w:val="9"/>
    <w:rPr>
      <w:b/>
      <w:bCs/>
      <w:kern w:val="2"/>
      <w:sz w:val="32"/>
      <w:szCs w:val="32"/>
    </w:rPr>
  </w:style>
  <w:style w:type="character" w:customStyle="1" w:styleId="66">
    <w:name w:val="日期 字符"/>
    <w:link w:val="18"/>
    <w:qFormat/>
    <w:uiPriority w:val="0"/>
    <w:rPr>
      <w:kern w:val="2"/>
      <w:sz w:val="21"/>
      <w:szCs w:val="24"/>
    </w:rPr>
  </w:style>
  <w:style w:type="paragraph" w:customStyle="1" w:styleId="67">
    <w:name w:val="List Paragraph2"/>
    <w:basedOn w:val="1"/>
    <w:qFormat/>
    <w:uiPriority w:val="34"/>
    <w:pPr>
      <w:ind w:firstLine="420" w:firstLineChars="200"/>
      <w:jc w:val="both"/>
    </w:pPr>
    <w:rPr>
      <w:rFonts w:ascii="Calibri" w:hAnsi="Calibri"/>
      <w:szCs w:val="22"/>
    </w:rPr>
  </w:style>
  <w:style w:type="paragraph" w:customStyle="1" w:styleId="68">
    <w:name w:val="xsmj"/>
    <w:basedOn w:val="23"/>
    <w:qFormat/>
    <w:uiPriority w:val="0"/>
    <w:pPr>
      <w:widowControl w:val="0"/>
      <w:pBdr>
        <w:bottom w:val="single" w:color="auto" w:sz="4" w:space="1"/>
      </w:pBdr>
      <w:tabs>
        <w:tab w:val="right" w:pos="10091"/>
        <w:tab w:val="clear" w:pos="8306"/>
      </w:tabs>
      <w:jc w:val="both"/>
    </w:pPr>
  </w:style>
  <w:style w:type="paragraph" w:customStyle="1" w:styleId="69">
    <w:name w:val="b7中文图名"/>
    <w:basedOn w:val="1"/>
    <w:autoRedefine/>
    <w:qFormat/>
    <w:uiPriority w:val="0"/>
    <w:pPr>
      <w:widowControl w:val="0"/>
      <w:spacing w:before="93" w:beforeLines="30"/>
      <w:jc w:val="center"/>
    </w:pPr>
    <w:rPr>
      <w:color w:val="FF0000"/>
      <w:sz w:val="18"/>
    </w:rPr>
  </w:style>
  <w:style w:type="paragraph" w:customStyle="1" w:styleId="70">
    <w:name w:val="b9中文表名"/>
    <w:basedOn w:val="16"/>
    <w:autoRedefine/>
    <w:qFormat/>
    <w:uiPriority w:val="0"/>
    <w:pPr>
      <w:ind w:right="28"/>
      <w:jc w:val="center"/>
    </w:pPr>
    <w:rPr>
      <w:rFonts w:ascii="Times New Roman" w:hAnsi="Times New Roman"/>
      <w:color w:val="000000"/>
      <w:sz w:val="18"/>
      <w:szCs w:val="24"/>
    </w:rPr>
  </w:style>
  <w:style w:type="paragraph" w:customStyle="1" w:styleId="71">
    <w:name w:val="c1英文表名"/>
    <w:basedOn w:val="16"/>
    <w:autoRedefine/>
    <w:qFormat/>
    <w:uiPriority w:val="0"/>
    <w:pPr>
      <w:jc w:val="center"/>
    </w:pPr>
    <w:rPr>
      <w:rFonts w:ascii="Times New Roman" w:hAnsi="Times New Roman"/>
      <w:sz w:val="18"/>
      <w:szCs w:val="24"/>
    </w:rPr>
  </w:style>
  <w:style w:type="character" w:customStyle="1" w:styleId="72">
    <w:name w:val="纯文本 字符"/>
    <w:link w:val="16"/>
    <w:qFormat/>
    <w:uiPriority w:val="0"/>
    <w:rPr>
      <w:rFonts w:ascii="宋体" w:hAnsi="Courier New"/>
      <w:kern w:val="2"/>
      <w:sz w:val="21"/>
      <w:szCs w:val="21"/>
      <w:lang w:val="zh-CN" w:eastAsia="zh-CN"/>
    </w:rPr>
  </w:style>
  <w:style w:type="paragraph" w:customStyle="1" w:styleId="73">
    <w:name w:val="b5二级标题"/>
    <w:basedOn w:val="1"/>
    <w:autoRedefine/>
    <w:qFormat/>
    <w:uiPriority w:val="0"/>
    <w:pPr>
      <w:widowControl w:val="0"/>
      <w:jc w:val="both"/>
    </w:pPr>
    <w:rPr>
      <w:rFonts w:ascii="黑体" w:hAnsi="宋体" w:eastAsia="黑体"/>
      <w:szCs w:val="28"/>
    </w:rPr>
  </w:style>
  <w:style w:type="paragraph" w:customStyle="1" w:styleId="74">
    <w:name w:val="b4一级标题"/>
    <w:basedOn w:val="1"/>
    <w:autoRedefine/>
    <w:qFormat/>
    <w:uiPriority w:val="0"/>
    <w:pPr>
      <w:widowControl w:val="0"/>
      <w:spacing w:before="312" w:beforeLines="100" w:line="0" w:lineRule="atLeast"/>
      <w:jc w:val="both"/>
    </w:pPr>
    <w:rPr>
      <w:rFonts w:ascii="黑体" w:hAnsi="宋体" w:eastAsia="黑体"/>
      <w:sz w:val="24"/>
    </w:rPr>
  </w:style>
  <w:style w:type="character" w:customStyle="1" w:styleId="75">
    <w:name w:val="正文文本缩进 3 字符"/>
    <w:link w:val="28"/>
    <w:qFormat/>
    <w:uiPriority w:val="0"/>
    <w:rPr>
      <w:sz w:val="18"/>
      <w:szCs w:val="24"/>
    </w:rPr>
  </w:style>
  <w:style w:type="character" w:customStyle="1" w:styleId="76">
    <w:name w:val="long_text1"/>
    <w:qFormat/>
    <w:uiPriority w:val="0"/>
    <w:rPr>
      <w:sz w:val="20"/>
      <w:szCs w:val="20"/>
    </w:rPr>
  </w:style>
  <w:style w:type="character" w:customStyle="1" w:styleId="77">
    <w:name w:val="正文文本 2 字符"/>
    <w:link w:val="31"/>
    <w:qFormat/>
    <w:uiPriority w:val="0"/>
    <w:rPr>
      <w:rFonts w:eastAsia="黑体"/>
      <w:sz w:val="44"/>
      <w:szCs w:val="24"/>
    </w:rPr>
  </w:style>
  <w:style w:type="character" w:customStyle="1" w:styleId="78">
    <w:name w:val="Char Char2"/>
    <w:qFormat/>
    <w:uiPriority w:val="0"/>
    <w:rPr>
      <w:rFonts w:ascii="Times New Roman" w:hAnsi="Times New Roman"/>
      <w:kern w:val="2"/>
      <w:sz w:val="28"/>
    </w:rPr>
  </w:style>
  <w:style w:type="character" w:customStyle="1" w:styleId="79">
    <w:name w:val="尾注文本 字符"/>
    <w:link w:val="20"/>
    <w:qFormat/>
    <w:uiPriority w:val="0"/>
    <w:rPr>
      <w:rFonts w:ascii="Calibri" w:hAnsi="Calibri"/>
    </w:rPr>
  </w:style>
  <w:style w:type="character" w:customStyle="1" w:styleId="80">
    <w:name w:val="Char Char8"/>
    <w:qFormat/>
    <w:uiPriority w:val="0"/>
    <w:rPr>
      <w:sz w:val="18"/>
      <w:szCs w:val="18"/>
    </w:rPr>
  </w:style>
  <w:style w:type="character" w:customStyle="1" w:styleId="81">
    <w:name w:val="zi_101"/>
    <w:qFormat/>
    <w:uiPriority w:val="0"/>
    <w:rPr>
      <w:rFonts w:hint="default" w:ascii="Verdana" w:hAnsi="Verdana"/>
      <w:color w:val="C90000"/>
      <w:sz w:val="18"/>
      <w:szCs w:val="18"/>
    </w:rPr>
  </w:style>
  <w:style w:type="character" w:customStyle="1" w:styleId="82">
    <w:name w:val="Char Char9"/>
    <w:qFormat/>
    <w:uiPriority w:val="0"/>
    <w:rPr>
      <w:b/>
      <w:bCs/>
      <w:kern w:val="2"/>
      <w:sz w:val="32"/>
      <w:szCs w:val="32"/>
    </w:rPr>
  </w:style>
  <w:style w:type="character" w:customStyle="1" w:styleId="83">
    <w:name w:val="p14_black_1501"/>
    <w:qFormat/>
    <w:uiPriority w:val="0"/>
    <w:rPr>
      <w:sz w:val="21"/>
      <w:szCs w:val="21"/>
    </w:rPr>
  </w:style>
  <w:style w:type="character" w:customStyle="1" w:styleId="84">
    <w:name w:val="正文文本缩进 字符"/>
    <w:link w:val="13"/>
    <w:qFormat/>
    <w:uiPriority w:val="0"/>
    <w:rPr>
      <w:szCs w:val="24"/>
    </w:rPr>
  </w:style>
  <w:style w:type="character" w:customStyle="1" w:styleId="85">
    <w:name w:val="medblacktext1"/>
    <w:qFormat/>
    <w:uiPriority w:val="0"/>
    <w:rPr>
      <w:rFonts w:hint="default" w:ascii="Arial" w:hAnsi="Arial" w:cs="Arial"/>
      <w:color w:val="000000"/>
      <w:sz w:val="15"/>
      <w:szCs w:val="15"/>
    </w:rPr>
  </w:style>
  <w:style w:type="character" w:customStyle="1" w:styleId="86">
    <w:name w:val="正文文本 字符"/>
    <w:link w:val="12"/>
    <w:qFormat/>
    <w:uiPriority w:val="0"/>
    <w:rPr>
      <w:szCs w:val="24"/>
    </w:rPr>
  </w:style>
  <w:style w:type="character" w:customStyle="1" w:styleId="87">
    <w:name w:val="apple-style-span"/>
    <w:qFormat/>
    <w:uiPriority w:val="0"/>
  </w:style>
  <w:style w:type="character" w:customStyle="1" w:styleId="88">
    <w:name w:val="文档结构图 Char1"/>
    <w:semiHidden/>
    <w:qFormat/>
    <w:uiPriority w:val="99"/>
    <w:rPr>
      <w:rFonts w:ascii="Microsoft YaHei UI" w:eastAsia="Microsoft YaHei UI"/>
      <w:kern w:val="2"/>
      <w:sz w:val="18"/>
      <w:szCs w:val="18"/>
    </w:rPr>
  </w:style>
  <w:style w:type="character" w:customStyle="1" w:styleId="89">
    <w:name w:val="批注框文本 Char1"/>
    <w:semiHidden/>
    <w:qFormat/>
    <w:uiPriority w:val="99"/>
    <w:rPr>
      <w:rFonts w:ascii="Times New Roman" w:hAnsi="Times New Roman" w:eastAsia="宋体" w:cs="Times New Roman"/>
      <w:sz w:val="18"/>
      <w:szCs w:val="18"/>
    </w:rPr>
  </w:style>
  <w:style w:type="character" w:customStyle="1" w:styleId="90">
    <w:name w:val="正文文本 Char1"/>
    <w:qFormat/>
    <w:uiPriority w:val="99"/>
    <w:rPr>
      <w:kern w:val="2"/>
      <w:sz w:val="21"/>
      <w:szCs w:val="24"/>
    </w:rPr>
  </w:style>
  <w:style w:type="character" w:customStyle="1" w:styleId="91">
    <w:name w:val="尾注文本 Char1"/>
    <w:qFormat/>
    <w:uiPriority w:val="99"/>
    <w:rPr>
      <w:kern w:val="2"/>
      <w:sz w:val="21"/>
      <w:szCs w:val="24"/>
    </w:rPr>
  </w:style>
  <w:style w:type="character" w:customStyle="1" w:styleId="92">
    <w:name w:val="正文文本缩进 Char1"/>
    <w:qFormat/>
    <w:uiPriority w:val="99"/>
    <w:rPr>
      <w:kern w:val="2"/>
      <w:sz w:val="21"/>
      <w:szCs w:val="24"/>
    </w:rPr>
  </w:style>
  <w:style w:type="character" w:customStyle="1" w:styleId="93">
    <w:name w:val="页脚 Char1"/>
    <w:semiHidden/>
    <w:qFormat/>
    <w:uiPriority w:val="99"/>
    <w:rPr>
      <w:rFonts w:ascii="Times New Roman" w:hAnsi="Times New Roman" w:eastAsia="宋体" w:cs="Times New Roman"/>
      <w:sz w:val="18"/>
      <w:szCs w:val="18"/>
    </w:rPr>
  </w:style>
  <w:style w:type="character" w:customStyle="1" w:styleId="94">
    <w:name w:val="日期 Char1"/>
    <w:semiHidden/>
    <w:qFormat/>
    <w:uiPriority w:val="99"/>
    <w:rPr>
      <w:rFonts w:ascii="Times New Roman" w:hAnsi="Times New Roman" w:eastAsia="宋体" w:cs="Times New Roman"/>
      <w:szCs w:val="24"/>
    </w:rPr>
  </w:style>
  <w:style w:type="character" w:customStyle="1" w:styleId="95">
    <w:name w:val="纯文本 Char1"/>
    <w:semiHidden/>
    <w:qFormat/>
    <w:uiPriority w:val="99"/>
    <w:rPr>
      <w:rFonts w:ascii="宋体" w:hAnsi="Courier New" w:eastAsia="宋体" w:cs="Courier New"/>
      <w:szCs w:val="21"/>
    </w:rPr>
  </w:style>
  <w:style w:type="character" w:customStyle="1" w:styleId="96">
    <w:name w:val="页眉 Char1"/>
    <w:semiHidden/>
    <w:qFormat/>
    <w:uiPriority w:val="99"/>
    <w:rPr>
      <w:rFonts w:ascii="Times New Roman" w:hAnsi="Times New Roman" w:eastAsia="宋体" w:cs="Times New Roman"/>
      <w:sz w:val="18"/>
      <w:szCs w:val="18"/>
    </w:rPr>
  </w:style>
  <w:style w:type="paragraph" w:customStyle="1" w:styleId="97">
    <w:name w:val="p26"/>
    <w:basedOn w:val="1"/>
    <w:qFormat/>
    <w:uiPriority w:val="0"/>
    <w:pPr>
      <w:jc w:val="center"/>
    </w:pPr>
    <w:rPr>
      <w:rFonts w:ascii="宋体" w:hAnsi="宋体" w:cs="宋体"/>
      <w:kern w:val="0"/>
      <w:sz w:val="15"/>
      <w:szCs w:val="15"/>
    </w:rPr>
  </w:style>
  <w:style w:type="paragraph" w:customStyle="1" w:styleId="98">
    <w:name w:val="论文单位地址"/>
    <w:basedOn w:val="1"/>
    <w:qFormat/>
    <w:uiPriority w:val="0"/>
    <w:pPr>
      <w:widowControl w:val="0"/>
      <w:jc w:val="center"/>
    </w:pPr>
    <w:rPr>
      <w:rFonts w:cs="Angsana New"/>
      <w:sz w:val="18"/>
    </w:rPr>
  </w:style>
  <w:style w:type="character" w:customStyle="1" w:styleId="99">
    <w:name w:val="正文文本 2 Char1"/>
    <w:qFormat/>
    <w:uiPriority w:val="99"/>
    <w:rPr>
      <w:kern w:val="2"/>
      <w:sz w:val="21"/>
      <w:szCs w:val="24"/>
    </w:rPr>
  </w:style>
  <w:style w:type="character" w:customStyle="1" w:styleId="100">
    <w:name w:val="正文文本缩进 3 Char1"/>
    <w:qFormat/>
    <w:uiPriority w:val="99"/>
    <w:rPr>
      <w:kern w:val="2"/>
      <w:sz w:val="16"/>
      <w:szCs w:val="16"/>
    </w:rPr>
  </w:style>
  <w:style w:type="paragraph" w:customStyle="1" w:styleId="101">
    <w:name w:val="b1作者英文单位"/>
    <w:basedOn w:val="1"/>
    <w:qFormat/>
    <w:uiPriority w:val="0"/>
    <w:pPr>
      <w:widowControl w:val="0"/>
      <w:ind w:left="400" w:leftChars="400" w:right="400" w:rightChars="400"/>
      <w:jc w:val="center"/>
    </w:pPr>
    <w:rPr>
      <w:sz w:val="15"/>
    </w:rPr>
  </w:style>
  <w:style w:type="paragraph" w:customStyle="1" w:styleId="102">
    <w:name w:val="First level heading"/>
    <w:basedOn w:val="1"/>
    <w:qFormat/>
    <w:uiPriority w:val="0"/>
    <w:pPr>
      <w:spacing w:line="260" w:lineRule="exact"/>
      <w:jc w:val="both"/>
    </w:pPr>
    <w:rPr>
      <w:rFonts w:eastAsia="Times"/>
      <w:caps/>
      <w:kern w:val="0"/>
      <w:sz w:val="20"/>
      <w:szCs w:val="20"/>
      <w:lang w:eastAsia="ja-JP"/>
    </w:rPr>
  </w:style>
  <w:style w:type="paragraph" w:customStyle="1" w:styleId="103">
    <w:name w:val="a5关键词"/>
    <w:basedOn w:val="1"/>
    <w:qFormat/>
    <w:uiPriority w:val="0"/>
    <w:pPr>
      <w:widowControl w:val="0"/>
      <w:spacing w:line="240" w:lineRule="exact"/>
      <w:ind w:left="200" w:leftChars="200" w:right="200" w:rightChars="200"/>
      <w:jc w:val="both"/>
    </w:pPr>
    <w:rPr>
      <w:rFonts w:ascii="宋体" w:hAnsi="宋体"/>
      <w:bCs/>
      <w:snapToGrid w:val="0"/>
      <w:kern w:val="0"/>
      <w:sz w:val="18"/>
      <w:szCs w:val="28"/>
    </w:rPr>
  </w:style>
  <w:style w:type="paragraph" w:customStyle="1" w:styleId="104">
    <w:name w:val="p17"/>
    <w:basedOn w:val="1"/>
    <w:qFormat/>
    <w:uiPriority w:val="0"/>
    <w:pPr>
      <w:ind w:left="420" w:right="420"/>
      <w:jc w:val="both"/>
    </w:pPr>
    <w:rPr>
      <w:kern w:val="0"/>
      <w:sz w:val="18"/>
      <w:szCs w:val="18"/>
    </w:rPr>
  </w:style>
  <w:style w:type="paragraph" w:customStyle="1" w:styleId="105">
    <w:name w:val="b3Key words"/>
    <w:basedOn w:val="31"/>
    <w:qFormat/>
    <w:uiPriority w:val="0"/>
    <w:pPr>
      <w:spacing w:after="312" w:afterLines="100"/>
      <w:ind w:left="420" w:leftChars="200" w:right="420" w:rightChars="200"/>
      <w:jc w:val="both"/>
    </w:pPr>
    <w:rPr>
      <w:rFonts w:ascii="Calibri" w:hAnsi="Calibri" w:eastAsia="宋体"/>
      <w:bCs/>
      <w:snapToGrid w:val="0"/>
      <w:sz w:val="18"/>
      <w:szCs w:val="18"/>
    </w:rPr>
  </w:style>
  <w:style w:type="paragraph" w:customStyle="1" w:styleId="106">
    <w:name w:val="p34"/>
    <w:basedOn w:val="1"/>
    <w:qFormat/>
    <w:uiPriority w:val="0"/>
    <w:pPr>
      <w:spacing w:after="312"/>
      <w:ind w:left="420" w:right="420"/>
      <w:jc w:val="both"/>
    </w:pPr>
    <w:rPr>
      <w:kern w:val="0"/>
      <w:sz w:val="18"/>
      <w:szCs w:val="18"/>
    </w:rPr>
  </w:style>
  <w:style w:type="paragraph" w:customStyle="1" w:styleId="107">
    <w:name w:val="a6分类标识"/>
    <w:basedOn w:val="1"/>
    <w:qFormat/>
    <w:uiPriority w:val="0"/>
    <w:pPr>
      <w:widowControl w:val="0"/>
      <w:spacing w:line="320" w:lineRule="exact"/>
      <w:ind w:right="420" w:rightChars="200"/>
      <w:jc w:val="both"/>
    </w:pPr>
    <w:rPr>
      <w:rFonts w:eastAsia="黑体"/>
      <w:bCs/>
      <w:sz w:val="18"/>
      <w:szCs w:val="28"/>
    </w:rPr>
  </w:style>
  <w:style w:type="paragraph" w:customStyle="1" w:styleId="108">
    <w:name w:val="p16"/>
    <w:basedOn w:val="1"/>
    <w:qFormat/>
    <w:uiPriority w:val="0"/>
    <w:pPr>
      <w:spacing w:line="260" w:lineRule="atLeast"/>
      <w:ind w:firstLine="284"/>
      <w:jc w:val="both"/>
    </w:pPr>
    <w:rPr>
      <w:kern w:val="0"/>
      <w:sz w:val="20"/>
      <w:szCs w:val="20"/>
    </w:rPr>
  </w:style>
  <w:style w:type="paragraph" w:customStyle="1" w:styleId="109">
    <w:name w:val="Dissertation Body text"/>
    <w:basedOn w:val="1"/>
    <w:qFormat/>
    <w:uiPriority w:val="0"/>
    <w:pPr>
      <w:spacing w:line="480" w:lineRule="auto"/>
      <w:ind w:firstLine="749"/>
      <w:jc w:val="both"/>
    </w:pPr>
    <w:rPr>
      <w:rFonts w:eastAsia="Times New Roman" w:cs="Angsana New"/>
      <w:bCs/>
      <w:kern w:val="0"/>
      <w:sz w:val="24"/>
      <w:szCs w:val="20"/>
      <w:lang w:eastAsia="en-US"/>
    </w:rPr>
  </w:style>
  <w:style w:type="paragraph" w:customStyle="1" w:styleId="110">
    <w:name w:val="框图"/>
    <w:basedOn w:val="1"/>
    <w:qFormat/>
    <w:uiPriority w:val="0"/>
    <w:pPr>
      <w:autoSpaceDE w:val="0"/>
      <w:autoSpaceDN w:val="0"/>
      <w:adjustRightInd w:val="0"/>
      <w:snapToGrid w:val="0"/>
      <w:jc w:val="center"/>
      <w:textAlignment w:val="bottom"/>
    </w:pPr>
    <w:rPr>
      <w:bCs/>
      <w:sz w:val="15"/>
      <w:szCs w:val="20"/>
    </w:rPr>
  </w:style>
  <w:style w:type="paragraph" w:customStyle="1" w:styleId="111">
    <w:name w:val="p19"/>
    <w:basedOn w:val="1"/>
    <w:qFormat/>
    <w:uiPriority w:val="0"/>
    <w:pPr>
      <w:spacing w:line="240" w:lineRule="atLeast"/>
      <w:ind w:left="420" w:right="420"/>
      <w:jc w:val="both"/>
    </w:pPr>
    <w:rPr>
      <w:rFonts w:ascii="宋体" w:hAnsi="宋体" w:cs="宋体"/>
      <w:kern w:val="0"/>
      <w:sz w:val="18"/>
      <w:szCs w:val="18"/>
    </w:rPr>
  </w:style>
  <w:style w:type="paragraph" w:customStyle="1" w:styleId="112">
    <w:name w:val="p37"/>
    <w:basedOn w:val="1"/>
    <w:qFormat/>
    <w:uiPriority w:val="0"/>
    <w:pPr>
      <w:jc w:val="both"/>
    </w:pPr>
    <w:rPr>
      <w:kern w:val="0"/>
      <w:szCs w:val="21"/>
    </w:rPr>
  </w:style>
  <w:style w:type="paragraph" w:customStyle="1" w:styleId="113">
    <w:name w:val="p20"/>
    <w:basedOn w:val="1"/>
    <w:qFormat/>
    <w:uiPriority w:val="0"/>
    <w:pPr>
      <w:jc w:val="center"/>
    </w:pPr>
    <w:rPr>
      <w:kern w:val="0"/>
      <w:sz w:val="18"/>
      <w:szCs w:val="18"/>
    </w:rPr>
  </w:style>
  <w:style w:type="paragraph" w:styleId="114">
    <w:name w:val="List Paragraph"/>
    <w:basedOn w:val="1"/>
    <w:qFormat/>
    <w:uiPriority w:val="34"/>
    <w:pPr>
      <w:widowControl w:val="0"/>
      <w:ind w:firstLine="420" w:firstLineChars="200"/>
      <w:jc w:val="both"/>
    </w:pPr>
    <w:rPr>
      <w:rFonts w:ascii="Calibri" w:hAnsi="Calibri"/>
      <w:szCs w:val="22"/>
    </w:rPr>
  </w:style>
  <w:style w:type="paragraph" w:styleId="115">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6">
    <w:name w:val="样式3"/>
    <w:basedOn w:val="4"/>
    <w:qFormat/>
    <w:uiPriority w:val="0"/>
    <w:pPr>
      <w:widowControl w:val="0"/>
      <w:spacing w:before="0" w:after="0" w:line="360" w:lineRule="auto"/>
      <w:jc w:val="both"/>
    </w:pPr>
    <w:rPr>
      <w:rFonts w:ascii="宋体" w:hAnsi="宋体"/>
      <w:color w:val="000000"/>
      <w:sz w:val="24"/>
      <w:lang w:val="zh-CN" w:eastAsia="zh-CN"/>
    </w:rPr>
  </w:style>
  <w:style w:type="paragraph" w:customStyle="1" w:styleId="117">
    <w:name w:val="样式1"/>
    <w:basedOn w:val="4"/>
    <w:next w:val="1"/>
    <w:qFormat/>
    <w:uiPriority w:val="0"/>
    <w:pPr>
      <w:widowControl w:val="0"/>
      <w:spacing w:before="0" w:after="0" w:line="360" w:lineRule="auto"/>
      <w:jc w:val="both"/>
    </w:pPr>
    <w:rPr>
      <w:sz w:val="28"/>
      <w:szCs w:val="20"/>
      <w:lang w:val="zh-CN" w:eastAsia="zh-CN"/>
    </w:rPr>
  </w:style>
  <w:style w:type="paragraph" w:customStyle="1" w:styleId="118">
    <w:name w:val="样式 样式1 + 四号 加粗 两端对齐 底端: (无框线) 行距: 1.5 倍行距"/>
    <w:basedOn w:val="117"/>
    <w:qFormat/>
    <w:uiPriority w:val="0"/>
    <w:rPr>
      <w:rFonts w:ascii="宋体" w:hAnsi="宋体" w:cs="宋体"/>
      <w:b w:val="0"/>
      <w:bCs w:val="0"/>
      <w:color w:val="000000"/>
    </w:rPr>
  </w:style>
  <w:style w:type="paragraph" w:customStyle="1" w:styleId="119">
    <w:name w:val="a1文章中文标题"/>
    <w:basedOn w:val="1"/>
    <w:qFormat/>
    <w:uiPriority w:val="0"/>
    <w:pPr>
      <w:widowControl w:val="0"/>
      <w:spacing w:before="936" w:beforeLines="300" w:after="312" w:afterLines="100" w:line="360" w:lineRule="exact"/>
      <w:jc w:val="center"/>
    </w:pPr>
    <w:rPr>
      <w:rFonts w:hAnsi="新宋体" w:eastAsia="新宋体" w:cs="Angsana New"/>
      <w:w w:val="95"/>
      <w:sz w:val="24"/>
    </w:rPr>
  </w:style>
  <w:style w:type="paragraph" w:customStyle="1" w:styleId="120">
    <w:name w:val="p27"/>
    <w:basedOn w:val="1"/>
    <w:qFormat/>
    <w:uiPriority w:val="0"/>
    <w:pPr>
      <w:spacing w:line="240" w:lineRule="atLeast"/>
      <w:ind w:left="420" w:right="420"/>
      <w:jc w:val="both"/>
    </w:pPr>
    <w:rPr>
      <w:rFonts w:ascii="宋体" w:hAnsi="宋体" w:cs="宋体"/>
      <w:kern w:val="0"/>
      <w:sz w:val="18"/>
      <w:szCs w:val="18"/>
    </w:rPr>
  </w:style>
  <w:style w:type="paragraph" w:customStyle="1" w:styleId="121">
    <w:name w:val="p30"/>
    <w:basedOn w:val="1"/>
    <w:qFormat/>
    <w:uiPriority w:val="0"/>
    <w:pPr>
      <w:spacing w:line="360" w:lineRule="auto"/>
      <w:jc w:val="both"/>
    </w:pPr>
    <w:rPr>
      <w:kern w:val="0"/>
      <w:sz w:val="24"/>
    </w:rPr>
  </w:style>
  <w:style w:type="paragraph" w:customStyle="1" w:styleId="122">
    <w:name w:val="a9作者英文名"/>
    <w:basedOn w:val="1"/>
    <w:qFormat/>
    <w:uiPriority w:val="0"/>
    <w:pPr>
      <w:widowControl w:val="0"/>
      <w:spacing w:line="240" w:lineRule="exact"/>
      <w:jc w:val="center"/>
    </w:pPr>
  </w:style>
  <w:style w:type="paragraph" w:customStyle="1" w:styleId="123">
    <w:name w:val="Char"/>
    <w:basedOn w:val="1"/>
    <w:qFormat/>
    <w:uiPriority w:val="0"/>
    <w:pPr>
      <w:widowControl w:val="0"/>
      <w:jc w:val="both"/>
    </w:pPr>
    <w:rPr>
      <w:szCs w:val="20"/>
    </w:rPr>
  </w:style>
  <w:style w:type="paragraph" w:customStyle="1" w:styleId="124">
    <w:name w:val="a8文章英文标题"/>
    <w:basedOn w:val="3"/>
    <w:next w:val="125"/>
    <w:qFormat/>
    <w:uiPriority w:val="0"/>
    <w:pPr>
      <w:keepLines w:val="0"/>
      <w:widowControl w:val="0"/>
      <w:adjustRightInd w:val="0"/>
      <w:snapToGrid w:val="0"/>
      <w:spacing w:before="312" w:beforeLines="100" w:after="312" w:afterLines="100" w:line="320" w:lineRule="exact"/>
    </w:pPr>
    <w:rPr>
      <w:color w:val="FF0000"/>
      <w:sz w:val="32"/>
    </w:rPr>
  </w:style>
  <w:style w:type="paragraph" w:customStyle="1" w:styleId="125">
    <w:name w:val="Char Char Char Char Char Char Char"/>
    <w:basedOn w:val="1"/>
    <w:qFormat/>
    <w:uiPriority w:val="0"/>
    <w:pPr>
      <w:widowControl w:val="0"/>
      <w:tabs>
        <w:tab w:val="left" w:pos="360"/>
      </w:tabs>
      <w:snapToGrid w:val="0"/>
      <w:spacing w:line="360" w:lineRule="auto"/>
      <w:jc w:val="both"/>
    </w:pPr>
    <w:rPr>
      <w:rFonts w:eastAsia="仿宋_GB2312" w:cs="宋体"/>
      <w:sz w:val="24"/>
      <w:szCs w:val="20"/>
    </w:rPr>
  </w:style>
  <w:style w:type="paragraph" w:customStyle="1" w:styleId="126">
    <w:name w:val="p33"/>
    <w:basedOn w:val="1"/>
    <w:qFormat/>
    <w:uiPriority w:val="0"/>
    <w:pPr>
      <w:spacing w:before="312" w:line="360" w:lineRule="auto"/>
      <w:jc w:val="both"/>
    </w:pPr>
    <w:rPr>
      <w:rFonts w:ascii="黑体" w:hAnsi="黑体" w:eastAsia="黑体" w:cs="宋体"/>
      <w:b/>
      <w:bCs/>
      <w:kern w:val="0"/>
      <w:sz w:val="28"/>
      <w:szCs w:val="28"/>
    </w:rPr>
  </w:style>
  <w:style w:type="paragraph" w:customStyle="1" w:styleId="127">
    <w:name w:val="a2作者中文姓名"/>
    <w:basedOn w:val="1"/>
    <w:qFormat/>
    <w:uiPriority w:val="0"/>
    <w:pPr>
      <w:widowControl w:val="0"/>
      <w:spacing w:line="360" w:lineRule="auto"/>
      <w:ind w:firstLine="420"/>
      <w:jc w:val="both"/>
    </w:pPr>
    <w:rPr>
      <w:rFonts w:ascii="宋体" w:hAnsi="宋体" w:cs="Angsana New"/>
      <w:bCs/>
      <w:sz w:val="24"/>
    </w:rPr>
  </w:style>
  <w:style w:type="paragraph" w:customStyle="1" w:styleId="128">
    <w:name w:val="p28"/>
    <w:basedOn w:val="1"/>
    <w:qFormat/>
    <w:uiPriority w:val="0"/>
    <w:pPr>
      <w:spacing w:before="312"/>
      <w:jc w:val="both"/>
    </w:pPr>
    <w:rPr>
      <w:rFonts w:ascii="黑体" w:hAnsi="黑体" w:eastAsia="黑体" w:cs="宋体"/>
      <w:kern w:val="0"/>
      <w:szCs w:val="21"/>
    </w:rPr>
  </w:style>
  <w:style w:type="paragraph" w:customStyle="1" w:styleId="129">
    <w:name w:val="p32"/>
    <w:basedOn w:val="1"/>
    <w:qFormat/>
    <w:uiPriority w:val="0"/>
    <w:pPr>
      <w:pBdr>
        <w:bottom w:val="thinThickLargeGap" w:color="000000" w:sz="6" w:space="1"/>
      </w:pBdr>
      <w:jc w:val="center"/>
    </w:pPr>
    <w:rPr>
      <w:rFonts w:ascii="宋体" w:hAnsi="宋体" w:cs="宋体"/>
      <w:kern w:val="0"/>
      <w:sz w:val="18"/>
      <w:szCs w:val="18"/>
    </w:rPr>
  </w:style>
  <w:style w:type="paragraph" w:customStyle="1" w:styleId="130">
    <w:name w:val="p29"/>
    <w:basedOn w:val="1"/>
    <w:qFormat/>
    <w:uiPriority w:val="0"/>
    <w:pPr>
      <w:spacing w:before="156" w:line="280" w:lineRule="atLeast"/>
      <w:ind w:left="420" w:right="420"/>
      <w:jc w:val="both"/>
    </w:pPr>
    <w:rPr>
      <w:kern w:val="0"/>
      <w:sz w:val="18"/>
      <w:szCs w:val="18"/>
    </w:rPr>
  </w:style>
  <w:style w:type="paragraph" w:customStyle="1" w:styleId="131">
    <w:name w:val="p36"/>
    <w:basedOn w:val="1"/>
    <w:qFormat/>
    <w:uiPriority w:val="0"/>
    <w:pPr>
      <w:ind w:firstLine="420"/>
      <w:jc w:val="both"/>
    </w:pPr>
    <w:rPr>
      <w:rFonts w:ascii="Calibri" w:hAnsi="Calibri" w:cs="宋体"/>
      <w:kern w:val="0"/>
      <w:szCs w:val="21"/>
    </w:rPr>
  </w:style>
  <w:style w:type="paragraph" w:customStyle="1" w:styleId="132">
    <w:name w:val="p35"/>
    <w:basedOn w:val="1"/>
    <w:qFormat/>
    <w:uiPriority w:val="0"/>
    <w:pPr>
      <w:jc w:val="both"/>
    </w:pPr>
    <w:rPr>
      <w:rFonts w:ascii="宋体" w:hAnsi="宋体" w:cs="宋体"/>
      <w:kern w:val="0"/>
      <w:szCs w:val="21"/>
    </w:rPr>
  </w:style>
  <w:style w:type="paragraph" w:customStyle="1" w:styleId="133">
    <w:name w:val="p39"/>
    <w:basedOn w:val="1"/>
    <w:qFormat/>
    <w:uiPriority w:val="0"/>
    <w:rPr>
      <w:rFonts w:ascii="Calibri" w:hAnsi="Calibri" w:cs="宋体"/>
      <w:kern w:val="0"/>
      <w:sz w:val="18"/>
      <w:szCs w:val="18"/>
    </w:rPr>
  </w:style>
  <w:style w:type="paragraph" w:customStyle="1" w:styleId="134">
    <w:name w:val="大标题1"/>
    <w:basedOn w:val="2"/>
    <w:qFormat/>
    <w:uiPriority w:val="0"/>
    <w:pPr>
      <w:keepLines/>
      <w:widowControl w:val="0"/>
      <w:spacing w:before="340" w:after="330" w:line="578" w:lineRule="auto"/>
      <w:jc w:val="both"/>
    </w:pPr>
    <w:rPr>
      <w:bCs/>
      <w:kern w:val="44"/>
      <w:sz w:val="44"/>
      <w:szCs w:val="44"/>
    </w:rPr>
  </w:style>
  <w:style w:type="paragraph" w:customStyle="1" w:styleId="135">
    <w:name w:val="p21"/>
    <w:basedOn w:val="1"/>
    <w:qFormat/>
    <w:uiPriority w:val="0"/>
    <w:pPr>
      <w:spacing w:line="240" w:lineRule="atLeast"/>
      <w:jc w:val="center"/>
    </w:pPr>
    <w:rPr>
      <w:kern w:val="0"/>
      <w:szCs w:val="21"/>
    </w:rPr>
  </w:style>
  <w:style w:type="paragraph" w:customStyle="1" w:styleId="136">
    <w:name w:val="a4摘要"/>
    <w:basedOn w:val="1"/>
    <w:qFormat/>
    <w:uiPriority w:val="0"/>
    <w:pPr>
      <w:widowControl w:val="0"/>
      <w:spacing w:before="156" w:beforeLines="50" w:line="280" w:lineRule="exact"/>
      <w:ind w:left="420" w:leftChars="200" w:right="420" w:rightChars="200"/>
      <w:jc w:val="both"/>
    </w:pPr>
    <w:rPr>
      <w:snapToGrid w:val="0"/>
      <w:kern w:val="0"/>
      <w:sz w:val="18"/>
      <w:szCs w:val="28"/>
    </w:rPr>
  </w:style>
  <w:style w:type="paragraph" w:customStyle="1" w:styleId="137">
    <w:name w:val="c6英文参考文献"/>
    <w:basedOn w:val="1"/>
    <w:qFormat/>
    <w:uiPriority w:val="0"/>
    <w:pPr>
      <w:widowControl w:val="0"/>
      <w:spacing w:line="320" w:lineRule="exact"/>
      <w:ind w:left="200" w:hanging="200" w:hangingChars="200"/>
      <w:jc w:val="both"/>
    </w:pPr>
    <w:rPr>
      <w:sz w:val="18"/>
    </w:rPr>
  </w:style>
  <w:style w:type="paragraph" w:customStyle="1" w:styleId="138">
    <w:name w:val="Figure caption"/>
    <w:basedOn w:val="1"/>
    <w:next w:val="1"/>
    <w:qFormat/>
    <w:uiPriority w:val="0"/>
    <w:pPr>
      <w:overflowPunct w:val="0"/>
      <w:autoSpaceDE w:val="0"/>
      <w:autoSpaceDN w:val="0"/>
      <w:adjustRightInd w:val="0"/>
      <w:spacing w:line="220" w:lineRule="exact"/>
      <w:jc w:val="both"/>
      <w:textAlignment w:val="baseline"/>
    </w:pPr>
    <w:rPr>
      <w:kern w:val="0"/>
      <w:sz w:val="20"/>
      <w:szCs w:val="20"/>
      <w:lang w:eastAsia="en-US"/>
    </w:rPr>
  </w:style>
  <w:style w:type="paragraph" w:customStyle="1" w:styleId="139">
    <w:name w:val="p18"/>
    <w:basedOn w:val="1"/>
    <w:qFormat/>
    <w:uiPriority w:val="0"/>
    <w:pPr>
      <w:ind w:left="840" w:right="840"/>
      <w:jc w:val="center"/>
    </w:pPr>
    <w:rPr>
      <w:kern w:val="0"/>
      <w:sz w:val="15"/>
      <w:szCs w:val="15"/>
    </w:rPr>
  </w:style>
  <w:style w:type="paragraph" w:customStyle="1" w:styleId="140">
    <w:name w:val="c4参考文献标题"/>
    <w:basedOn w:val="1"/>
    <w:qFormat/>
    <w:uiPriority w:val="0"/>
    <w:pPr>
      <w:widowControl w:val="0"/>
      <w:spacing w:before="312" w:beforeLines="100"/>
      <w:jc w:val="both"/>
    </w:pPr>
    <w:rPr>
      <w:rFonts w:ascii="黑体" w:hAnsi="宋体" w:eastAsia="黑体"/>
      <w:bCs/>
      <w:szCs w:val="28"/>
    </w:rPr>
  </w:style>
  <w:style w:type="paragraph" w:customStyle="1" w:styleId="141">
    <w:name w:val="标题4"/>
    <w:basedOn w:val="5"/>
    <w:qFormat/>
    <w:uiPriority w:val="0"/>
    <w:pPr>
      <w:spacing w:before="156" w:beforeLines="50" w:after="156" w:afterLines="50" w:line="377" w:lineRule="auto"/>
    </w:pPr>
  </w:style>
  <w:style w:type="paragraph" w:customStyle="1" w:styleId="142">
    <w:name w:val="b2Abstract"/>
    <w:basedOn w:val="31"/>
    <w:qFormat/>
    <w:uiPriority w:val="0"/>
    <w:pPr>
      <w:ind w:left="200" w:leftChars="200" w:right="200" w:rightChars="200"/>
      <w:jc w:val="both"/>
    </w:pPr>
    <w:rPr>
      <w:rFonts w:ascii="Calibri" w:hAnsi="Calibri" w:eastAsia="宋体"/>
      <w:bCs/>
      <w:snapToGrid w:val="0"/>
      <w:sz w:val="18"/>
      <w:szCs w:val="18"/>
    </w:rPr>
  </w:style>
  <w:style w:type="paragraph" w:customStyle="1" w:styleId="143">
    <w:name w:val="p15"/>
    <w:basedOn w:val="1"/>
    <w:qFormat/>
    <w:uiPriority w:val="0"/>
    <w:pPr>
      <w:snapToGrid w:val="0"/>
      <w:spacing w:before="312" w:after="312" w:line="320" w:lineRule="atLeast"/>
      <w:jc w:val="center"/>
    </w:pPr>
    <w:rPr>
      <w:b/>
      <w:bCs/>
      <w:color w:val="FF0000"/>
      <w:kern w:val="0"/>
      <w:sz w:val="32"/>
      <w:szCs w:val="32"/>
    </w:rPr>
  </w:style>
  <w:style w:type="paragraph" w:customStyle="1" w:styleId="144">
    <w:name w:val="p0"/>
    <w:basedOn w:val="1"/>
    <w:qFormat/>
    <w:uiPriority w:val="0"/>
    <w:pPr>
      <w:jc w:val="both"/>
    </w:pPr>
    <w:rPr>
      <w:rFonts w:ascii="Calibri" w:hAnsi="Calibri" w:cs="宋体"/>
      <w:kern w:val="0"/>
      <w:szCs w:val="21"/>
    </w:rPr>
  </w:style>
  <w:style w:type="paragraph" w:customStyle="1" w:styleId="145">
    <w:name w:val="main text"/>
    <w:basedOn w:val="1"/>
    <w:qFormat/>
    <w:uiPriority w:val="0"/>
    <w:pPr>
      <w:spacing w:line="260" w:lineRule="exact"/>
      <w:ind w:firstLine="284"/>
      <w:jc w:val="both"/>
    </w:pPr>
    <w:rPr>
      <w:rFonts w:eastAsia="Times"/>
      <w:kern w:val="0"/>
      <w:sz w:val="20"/>
      <w:szCs w:val="20"/>
      <w:lang w:eastAsia="ja-JP"/>
    </w:rPr>
  </w:style>
  <w:style w:type="paragraph" w:customStyle="1" w:styleId="146">
    <w:name w:val="样式2"/>
    <w:basedOn w:val="2"/>
    <w:qFormat/>
    <w:uiPriority w:val="0"/>
    <w:pPr>
      <w:keepLines/>
      <w:widowControl w:val="0"/>
      <w:spacing w:line="240" w:lineRule="auto"/>
    </w:pPr>
    <w:rPr>
      <w:bCs/>
      <w:kern w:val="44"/>
      <w:szCs w:val="44"/>
    </w:rPr>
  </w:style>
  <w:style w:type="paragraph" w:customStyle="1" w:styleId="147">
    <w:name w:val="References"/>
    <w:basedOn w:val="1"/>
    <w:qFormat/>
    <w:uiPriority w:val="0"/>
    <w:pPr>
      <w:spacing w:line="260" w:lineRule="exact"/>
      <w:ind w:left="284" w:hanging="284"/>
      <w:jc w:val="both"/>
    </w:pPr>
    <w:rPr>
      <w:rFonts w:eastAsia="Times"/>
      <w:kern w:val="0"/>
      <w:sz w:val="20"/>
      <w:szCs w:val="20"/>
      <w:lang w:eastAsia="ja-JP"/>
    </w:rPr>
  </w:style>
  <w:style w:type="paragraph" w:customStyle="1" w:styleId="148">
    <w:name w:val="a3作者中文单位"/>
    <w:basedOn w:val="1"/>
    <w:qFormat/>
    <w:uiPriority w:val="0"/>
    <w:pPr>
      <w:widowControl w:val="0"/>
      <w:jc w:val="center"/>
    </w:pPr>
    <w:rPr>
      <w:rFonts w:ascii="宋体" w:hAnsi="宋体"/>
      <w:bCs/>
      <w:sz w:val="15"/>
      <w:szCs w:val="36"/>
    </w:rPr>
  </w:style>
  <w:style w:type="paragraph" w:customStyle="1" w:styleId="149">
    <w:name w:val="Default"/>
    <w:qFormat/>
    <w:uiPriority w:val="0"/>
    <w:pPr>
      <w:widowControl w:val="0"/>
      <w:autoSpaceDE w:val="0"/>
      <w:autoSpaceDN w:val="0"/>
      <w:adjustRightInd w:val="0"/>
    </w:pPr>
    <w:rPr>
      <w:rFonts w:ascii="Simsun (Founder Extended)" w:hAnsi="Times New Roman" w:eastAsia="Simsun (Founder Extended)" w:cs="Simsun (Founder Extended)"/>
      <w:color w:val="000000"/>
      <w:sz w:val="24"/>
      <w:szCs w:val="24"/>
      <w:lang w:val="en-US" w:eastAsia="zh-CN" w:bidi="ar-SA"/>
    </w:rPr>
  </w:style>
  <w:style w:type="paragraph" w:customStyle="1" w:styleId="150">
    <w:name w:val="p22"/>
    <w:basedOn w:val="1"/>
    <w:qFormat/>
    <w:uiPriority w:val="0"/>
    <w:pPr>
      <w:jc w:val="center"/>
    </w:pPr>
    <w:rPr>
      <w:rFonts w:ascii="仿宋_GB2312" w:hAnsi="仿宋_GB2312" w:cs="宋体"/>
      <w:kern w:val="0"/>
      <w:szCs w:val="21"/>
    </w:rPr>
  </w:style>
  <w:style w:type="paragraph" w:customStyle="1" w:styleId="151">
    <w:name w:val="a7作者简介"/>
    <w:basedOn w:val="1"/>
    <w:qFormat/>
    <w:uiPriority w:val="0"/>
    <w:pPr>
      <w:widowControl w:val="0"/>
      <w:spacing w:line="240" w:lineRule="atLeast"/>
      <w:ind w:left="200" w:leftChars="200" w:right="200" w:rightChars="200"/>
      <w:jc w:val="both"/>
    </w:pPr>
    <w:rPr>
      <w:rFonts w:ascii="宋体" w:hAnsi="宋体"/>
      <w:snapToGrid w:val="0"/>
      <w:kern w:val="0"/>
      <w:sz w:val="18"/>
      <w:szCs w:val="28"/>
    </w:rPr>
  </w:style>
  <w:style w:type="paragraph" w:customStyle="1" w:styleId="152">
    <w:name w:val="p23"/>
    <w:basedOn w:val="1"/>
    <w:qFormat/>
    <w:uiPriority w:val="0"/>
    <w:pPr>
      <w:spacing w:line="320" w:lineRule="atLeast"/>
      <w:ind w:left="420" w:right="420"/>
      <w:jc w:val="both"/>
    </w:pPr>
    <w:rPr>
      <w:kern w:val="0"/>
      <w:sz w:val="18"/>
      <w:szCs w:val="18"/>
    </w:rPr>
  </w:style>
  <w:style w:type="paragraph" w:customStyle="1" w:styleId="153">
    <w:name w:val="p24"/>
    <w:basedOn w:val="1"/>
    <w:qFormat/>
    <w:uiPriority w:val="0"/>
    <w:pPr>
      <w:ind w:right="28"/>
      <w:jc w:val="center"/>
    </w:pPr>
    <w:rPr>
      <w:rFonts w:ascii="黑体" w:hAnsi="黑体" w:eastAsia="黑体" w:cs="宋体"/>
      <w:kern w:val="0"/>
      <w:sz w:val="18"/>
      <w:szCs w:val="18"/>
    </w:rPr>
  </w:style>
  <w:style w:type="paragraph" w:customStyle="1" w:styleId="154">
    <w:name w:val="p25"/>
    <w:basedOn w:val="1"/>
    <w:qFormat/>
    <w:uiPriority w:val="0"/>
    <w:pPr>
      <w:spacing w:before="936" w:after="312" w:line="360" w:lineRule="atLeast"/>
      <w:jc w:val="center"/>
    </w:pPr>
    <w:rPr>
      <w:b/>
      <w:bCs/>
      <w:kern w:val="0"/>
      <w:sz w:val="44"/>
      <w:szCs w:val="44"/>
    </w:rPr>
  </w:style>
  <w:style w:type="paragraph" w:customStyle="1" w:styleId="155">
    <w:name w:val="p31"/>
    <w:basedOn w:val="1"/>
    <w:qFormat/>
    <w:uiPriority w:val="0"/>
    <w:pPr>
      <w:spacing w:after="120" w:line="480" w:lineRule="auto"/>
      <w:jc w:val="both"/>
    </w:pPr>
    <w:rPr>
      <w:rFonts w:ascii="Calibri" w:hAnsi="Calibri" w:cs="宋体"/>
      <w:kern w:val="0"/>
      <w:szCs w:val="21"/>
    </w:rPr>
  </w:style>
  <w:style w:type="paragraph" w:customStyle="1" w:styleId="156">
    <w:name w:val="p38"/>
    <w:basedOn w:val="1"/>
    <w:qFormat/>
    <w:uiPriority w:val="0"/>
    <w:pPr>
      <w:pBdr>
        <w:bottom w:val="single" w:color="000000" w:sz="6" w:space="1"/>
      </w:pBdr>
      <w:jc w:val="center"/>
    </w:pPr>
    <w:rPr>
      <w:rFonts w:ascii="Calibri" w:hAnsi="Calibri" w:cs="宋体"/>
      <w:kern w:val="0"/>
      <w:sz w:val="18"/>
      <w:szCs w:val="18"/>
    </w:rPr>
  </w:style>
  <w:style w:type="paragraph" w:customStyle="1" w:styleId="157">
    <w:name w:val="dsm"/>
    <w:basedOn w:val="23"/>
    <w:qFormat/>
    <w:uiPriority w:val="0"/>
    <w:pPr>
      <w:widowControl w:val="0"/>
      <w:pBdr>
        <w:bottom w:val="thinThickLargeGap" w:color="auto" w:sz="24" w:space="1"/>
      </w:pBdr>
    </w:pPr>
    <w:rPr>
      <w:rFonts w:ascii="宋体" w:hAnsi="宋体"/>
      <w:kern w:val="0"/>
      <w:lang w:val="en-US" w:eastAsia="zh-CN"/>
    </w:rPr>
  </w:style>
  <w:style w:type="paragraph" w:customStyle="1" w:styleId="158">
    <w:name w:val="(条例)一级标题"/>
    <w:basedOn w:val="2"/>
    <w:next w:val="159"/>
    <w:qFormat/>
    <w:uiPriority w:val="0"/>
    <w:pPr>
      <w:spacing w:before="340" w:after="330"/>
    </w:pPr>
    <w:rPr>
      <w:rFonts w:ascii="Times New Roman" w:hAnsi="Times New Roman" w:cs="宋体"/>
      <w:bCs/>
      <w:color w:val="000000"/>
      <w:szCs w:val="20"/>
    </w:rPr>
  </w:style>
  <w:style w:type="paragraph" w:customStyle="1" w:styleId="159">
    <w:name w:val="(条例)二级标题"/>
    <w:basedOn w:val="1"/>
    <w:qFormat/>
    <w:uiPriority w:val="0"/>
    <w:pPr>
      <w:spacing w:before="240" w:after="240" w:line="360" w:lineRule="auto"/>
      <w:jc w:val="center"/>
      <w:outlineLvl w:val="1"/>
    </w:pPr>
    <w:rPr>
      <w:rFonts w:cs="宋体"/>
      <w:b/>
      <w:bCs/>
      <w:color w:val="000000"/>
      <w:sz w:val="28"/>
      <w:szCs w:val="20"/>
    </w:rPr>
  </w:style>
  <w:style w:type="character" w:customStyle="1" w:styleId="160">
    <w:name w:val="(条例)三级标题"/>
    <w:qFormat/>
    <w:uiPriority w:val="0"/>
    <w:rPr>
      <w:rFonts w:ascii="Times New Roman" w:hAnsi="Times New Roman" w:eastAsia="宋体"/>
      <w:color w:val="000000"/>
      <w:sz w:val="24"/>
    </w:rPr>
  </w:style>
  <w:style w:type="paragraph" w:customStyle="1" w:styleId="161">
    <w:name w:val="(条例)段落"/>
    <w:basedOn w:val="1"/>
    <w:link w:val="172"/>
    <w:qFormat/>
    <w:uiPriority w:val="0"/>
    <w:pPr>
      <w:adjustRightInd w:val="0"/>
      <w:snapToGrid w:val="0"/>
      <w:spacing w:line="360" w:lineRule="auto"/>
    </w:pPr>
    <w:rPr>
      <w:rFonts w:cs="宋体"/>
      <w:color w:val="000000"/>
      <w:sz w:val="24"/>
      <w:szCs w:val="20"/>
    </w:rPr>
  </w:style>
  <w:style w:type="character" w:customStyle="1" w:styleId="162">
    <w:name w:val="页脚 字符"/>
    <w:basedOn w:val="37"/>
    <w:qFormat/>
    <w:uiPriority w:val="99"/>
  </w:style>
  <w:style w:type="paragraph" w:customStyle="1" w:styleId="163">
    <w:name w:val="样式 (条例)段落 + 首行缩进:  2 字符"/>
    <w:basedOn w:val="161"/>
    <w:qFormat/>
    <w:uiPriority w:val="0"/>
    <w:pPr>
      <w:textAlignment w:val="center"/>
    </w:pPr>
  </w:style>
  <w:style w:type="paragraph" w:customStyle="1" w:styleId="164">
    <w:name w:val="(条例)段落 + 首行缩进:  2 字符1"/>
    <w:basedOn w:val="161"/>
    <w:qFormat/>
    <w:uiPriority w:val="0"/>
    <w:pPr>
      <w:ind w:firstLine="480"/>
    </w:pPr>
  </w:style>
  <w:style w:type="paragraph" w:customStyle="1" w:styleId="165">
    <w:name w:val="样式 (条例)段落 + 首行缩进:  0.85 厘米"/>
    <w:basedOn w:val="161"/>
    <w:qFormat/>
    <w:uiPriority w:val="0"/>
  </w:style>
  <w:style w:type="paragraph" w:customStyle="1" w:styleId="166">
    <w:name w:val="(条例)图片居中"/>
    <w:basedOn w:val="161"/>
    <w:link w:val="173"/>
    <w:qFormat/>
    <w:uiPriority w:val="0"/>
    <w:pPr>
      <w:jc w:val="center"/>
    </w:pPr>
  </w:style>
  <w:style w:type="paragraph" w:customStyle="1" w:styleId="167">
    <w:name w:val="(条例)段落 + 编号项"/>
    <w:basedOn w:val="164"/>
    <w:qFormat/>
    <w:uiPriority w:val="0"/>
    <w:pPr>
      <w:ind w:left="900" w:leftChars="200" w:hanging="480" w:hangingChars="200"/>
    </w:pPr>
  </w:style>
  <w:style w:type="paragraph" w:customStyle="1" w:styleId="168">
    <w:name w:val="标准文件_表格"/>
    <w:basedOn w:val="1"/>
    <w:qFormat/>
    <w:uiPriority w:val="0"/>
    <w:pPr>
      <w:autoSpaceDE w:val="0"/>
      <w:autoSpaceDN w:val="0"/>
      <w:jc w:val="center"/>
    </w:pPr>
    <w:rPr>
      <w:kern w:val="0"/>
      <w:sz w:val="18"/>
      <w:szCs w:val="20"/>
    </w:rPr>
  </w:style>
  <w:style w:type="paragraph" w:customStyle="1" w:styleId="169">
    <w:name w:val="(附录)标题"/>
    <w:basedOn w:val="2"/>
    <w:qFormat/>
    <w:uiPriority w:val="0"/>
    <w:pPr>
      <w:spacing w:before="340" w:after="330" w:line="312" w:lineRule="auto"/>
    </w:pPr>
    <w:rPr>
      <w:rFonts w:ascii="Times New Roman" w:hAnsi="Times New Roman" w:cs="宋体"/>
      <w:bCs/>
      <w:color w:val="000000"/>
      <w:sz w:val="28"/>
      <w:szCs w:val="20"/>
    </w:rPr>
  </w:style>
  <w:style w:type="paragraph" w:customStyle="1" w:styleId="170">
    <w:name w:val="(附录)段落"/>
    <w:basedOn w:val="1"/>
    <w:link w:val="180"/>
    <w:qFormat/>
    <w:uiPriority w:val="0"/>
    <w:pPr>
      <w:spacing w:line="360" w:lineRule="auto"/>
    </w:pPr>
    <w:rPr>
      <w:rFonts w:cs="宋体"/>
      <w:szCs w:val="20"/>
    </w:rPr>
  </w:style>
  <w:style w:type="paragraph" w:customStyle="1" w:styleId="171">
    <w:name w:val="(附录)图片居中"/>
    <w:basedOn w:val="166"/>
    <w:link w:val="174"/>
    <w:qFormat/>
    <w:uiPriority w:val="0"/>
    <w:rPr>
      <w:b/>
      <w:bCs/>
      <w:sz w:val="21"/>
    </w:rPr>
  </w:style>
  <w:style w:type="character" w:customStyle="1" w:styleId="172">
    <w:name w:val="(条例)段落 字符"/>
    <w:basedOn w:val="37"/>
    <w:link w:val="161"/>
    <w:qFormat/>
    <w:uiPriority w:val="0"/>
    <w:rPr>
      <w:rFonts w:cs="宋体"/>
      <w:color w:val="000000"/>
      <w:kern w:val="2"/>
      <w:sz w:val="24"/>
    </w:rPr>
  </w:style>
  <w:style w:type="character" w:customStyle="1" w:styleId="173">
    <w:name w:val="(条例)图片居中 字符"/>
    <w:basedOn w:val="172"/>
    <w:link w:val="166"/>
    <w:qFormat/>
    <w:uiPriority w:val="0"/>
    <w:rPr>
      <w:rFonts w:cs="宋体"/>
      <w:color w:val="000000"/>
      <w:kern w:val="2"/>
      <w:sz w:val="24"/>
    </w:rPr>
  </w:style>
  <w:style w:type="character" w:customStyle="1" w:styleId="174">
    <w:name w:val="(附录)图片居中 字符"/>
    <w:basedOn w:val="173"/>
    <w:link w:val="171"/>
    <w:qFormat/>
    <w:uiPriority w:val="0"/>
    <w:rPr>
      <w:rFonts w:cs="宋体"/>
      <w:b/>
      <w:bCs/>
      <w:color w:val="000000"/>
      <w:kern w:val="2"/>
      <w:sz w:val="21"/>
    </w:rPr>
  </w:style>
  <w:style w:type="paragraph" w:customStyle="1" w:styleId="175">
    <w:name w:val="标准文件_段"/>
    <w:link w:val="176"/>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character" w:customStyle="1" w:styleId="176">
    <w:name w:val="标准文件_段 Char"/>
    <w:link w:val="175"/>
    <w:qFormat/>
    <w:uiPriority w:val="0"/>
    <w:rPr>
      <w:sz w:val="21"/>
    </w:rPr>
  </w:style>
  <w:style w:type="paragraph" w:customStyle="1" w:styleId="177">
    <w:name w:val="(条文说明)一级标题"/>
    <w:basedOn w:val="2"/>
    <w:next w:val="178"/>
    <w:link w:val="179"/>
    <w:qFormat/>
    <w:uiPriority w:val="0"/>
    <w:pPr>
      <w:spacing w:before="340" w:after="330"/>
    </w:pPr>
    <w:rPr>
      <w:rFonts w:ascii="Times New Roman" w:hAnsi="Times New Roman"/>
      <w:color w:val="000000"/>
      <w:sz w:val="28"/>
      <w:szCs w:val="28"/>
      <w:lang w:eastAsia="zh-CN"/>
    </w:rPr>
  </w:style>
  <w:style w:type="paragraph" w:customStyle="1" w:styleId="178">
    <w:name w:val="(条文说明)段落"/>
    <w:basedOn w:val="170"/>
    <w:link w:val="181"/>
    <w:qFormat/>
    <w:uiPriority w:val="0"/>
  </w:style>
  <w:style w:type="character" w:customStyle="1" w:styleId="179">
    <w:name w:val="(条文说明)一级标题 字符"/>
    <w:basedOn w:val="44"/>
    <w:link w:val="177"/>
    <w:qFormat/>
    <w:uiPriority w:val="0"/>
    <w:rPr>
      <w:rFonts w:ascii="宋体" w:hAnsi="宋体"/>
      <w:color w:val="000000"/>
      <w:kern w:val="2"/>
      <w:sz w:val="28"/>
      <w:szCs w:val="28"/>
      <w:lang w:val="zh-CN" w:eastAsia="zh-CN"/>
    </w:rPr>
  </w:style>
  <w:style w:type="character" w:customStyle="1" w:styleId="180">
    <w:name w:val="(附录)段落 字符"/>
    <w:basedOn w:val="37"/>
    <w:link w:val="170"/>
    <w:qFormat/>
    <w:uiPriority w:val="0"/>
    <w:rPr>
      <w:rFonts w:cs="宋体"/>
      <w:kern w:val="2"/>
      <w:sz w:val="21"/>
    </w:rPr>
  </w:style>
  <w:style w:type="character" w:customStyle="1" w:styleId="181">
    <w:name w:val="(条文说明)段落 字符"/>
    <w:basedOn w:val="180"/>
    <w:link w:val="178"/>
    <w:qFormat/>
    <w:uiPriority w:val="0"/>
    <w:rPr>
      <w:rFonts w:cs="宋体"/>
      <w:kern w:val="2"/>
      <w:sz w:val="21"/>
    </w:rPr>
  </w:style>
  <w:style w:type="paragraph" w:customStyle="1" w:styleId="182">
    <w:name w:val="(条文说明)二级标题"/>
    <w:basedOn w:val="159"/>
    <w:next w:val="178"/>
    <w:link w:val="183"/>
    <w:qFormat/>
    <w:uiPriority w:val="0"/>
    <w:rPr>
      <w:bCs w:val="0"/>
      <w:sz w:val="21"/>
      <w:lang w:val="zh-CN"/>
    </w:rPr>
  </w:style>
  <w:style w:type="character" w:customStyle="1" w:styleId="183">
    <w:name w:val="(条文说明)二级标题 字符"/>
    <w:basedOn w:val="181"/>
    <w:link w:val="182"/>
    <w:qFormat/>
    <w:uiPriority w:val="0"/>
    <w:rPr>
      <w:rFonts w:cs="宋体"/>
      <w:b/>
      <w:color w:val="000000"/>
      <w:kern w:val="2"/>
      <w:sz w:val="21"/>
      <w:lang w:val="zh-CN"/>
    </w:rPr>
  </w:style>
  <w:style w:type="paragraph" w:customStyle="1" w:styleId="184">
    <w:name w:val="(条文说明)总标题"/>
    <w:basedOn w:val="1"/>
    <w:link w:val="185"/>
    <w:qFormat/>
    <w:uiPriority w:val="0"/>
    <w:pPr>
      <w:spacing w:before="300" w:line="375" w:lineRule="atLeast"/>
      <w:jc w:val="center"/>
      <w:outlineLvl w:val="0"/>
    </w:pPr>
    <w:rPr>
      <w:rFonts w:ascii="宋体" w:hAnsi="宋体"/>
      <w:color w:val="000000"/>
      <w:kern w:val="0"/>
      <w:sz w:val="30"/>
      <w:szCs w:val="30"/>
    </w:rPr>
  </w:style>
  <w:style w:type="character" w:customStyle="1" w:styleId="185">
    <w:name w:val="(条文说明)总标题 字符"/>
    <w:basedOn w:val="37"/>
    <w:link w:val="184"/>
    <w:qFormat/>
    <w:uiPriority w:val="0"/>
    <w:rPr>
      <w:rFonts w:ascii="宋体" w:hAnsi="宋体"/>
      <w:color w:val="000000"/>
      <w:sz w:val="30"/>
      <w:szCs w:val="3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7.jpe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tiff"/><Relationship Id="rId26" Type="http://schemas.openxmlformats.org/officeDocument/2006/relationships/image" Target="media/image9.tiff"/><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tiff"/><Relationship Id="rId17" Type="http://schemas.openxmlformats.org/officeDocument/2006/relationships/theme" Target="theme/theme1.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333EE3-81DE-447D-A0F2-0AE1F271B34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62</Pages>
  <Words>3312</Words>
  <Characters>5095</Characters>
  <Lines>283</Lines>
  <Paragraphs>79</Paragraphs>
  <TotalTime>3</TotalTime>
  <ScaleCrop>false</ScaleCrop>
  <LinksUpToDate>false</LinksUpToDate>
  <CharactersWithSpaces>5615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2026-02-07T02:30:00Z</dcterms:created>
  <dc:creator>SDWM</dc:creator>
  <cp:lastModifiedBy>Administrator</cp:lastModifiedBy>
  <cp:lastPrinted>2016-07-22T08:37:00Z</cp:lastPrinted>
  <dcterms:modified xsi:type="dcterms:W3CDTF">2026-03-09T08:20:11Z</dcterms:modified>
  <dc:title>江苏省城市居住区和单位绿化标准(2013年修订稿)</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TemplateDocerSaveRecord">
    <vt:lpwstr>eyJoZGlkIjoiOWRmYzk5NjA5NzI0YjRhMmI1NzI1OGY0ODkzNjIzMjciLCJ1c2VySWQiOiIxNjI3MjEwNDQ4In0=</vt:lpwstr>
  </property>
  <property fmtid="{D5CDD505-2E9C-101B-9397-08002B2CF9AE}" pid="4" name="KSOProductBuildVer">
    <vt:lpwstr>2052-12.1.0.24034</vt:lpwstr>
  </property>
  <property fmtid="{D5CDD505-2E9C-101B-9397-08002B2CF9AE}" pid="5" name="ICV">
    <vt:lpwstr>1D497E693ACD457C966DEF851F11AD81_13</vt:lpwstr>
  </property>
</Properties>
</file>