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BB98C">
      <w:pPr>
        <w:tabs>
          <w:tab w:val="left" w:pos="6660"/>
        </w:tabs>
        <w:rPr>
          <w:rFonts w:ascii="Times New Roman" w:hAnsi="Times New Roman" w:eastAsia="黑体"/>
          <w:color w:val="000000"/>
          <w:sz w:val="32"/>
        </w:rPr>
      </w:pPr>
      <w:r>
        <w:rPr>
          <w:rFonts w:ascii="Times New Roman" w:hAnsi="Times New Roman" w:eastAsia="黑体"/>
          <w:color w:val="000000"/>
          <w:sz w:val="32"/>
        </w:rPr>
        <w:t>UDC</w:t>
      </w:r>
    </w:p>
    <w:p w14:paraId="2679E8A8">
      <w:pPr>
        <w:spacing w:before="156" w:beforeLines="50"/>
        <w:jc w:val="center"/>
        <w:rPr>
          <w:rFonts w:ascii="Times New Roman" w:hAnsi="Times New Roman"/>
          <w:color w:val="000000"/>
          <w:sz w:val="48"/>
        </w:rPr>
      </w:pPr>
      <w:r>
        <w:rPr>
          <w:rFonts w:ascii="Times New Roman" w:hAnsi="Times New Roman"/>
          <w:color w:val="000000"/>
          <w:sz w:val="36"/>
        </w:rPr>
        <w:t>中国土木工程学会标准</w:t>
      </w:r>
    </w:p>
    <w:p w14:paraId="2DDF42BC">
      <w:pPr>
        <w:rPr>
          <w:rFonts w:ascii="Times New Roman" w:hAnsi="Times New Roman"/>
          <w:color w:val="000000"/>
        </w:rPr>
      </w:pPr>
    </w:p>
    <w:p w14:paraId="690FE7A2">
      <w:pPr>
        <w:tabs>
          <w:tab w:val="left" w:pos="7432"/>
        </w:tabs>
        <w:rPr>
          <w:rFonts w:ascii="Times New Roman" w:hAnsi="Times New Roman"/>
          <w:color w:val="000000"/>
          <w:sz w:val="36"/>
        </w:rPr>
      </w:pPr>
      <w:r>
        <w:rPr>
          <w:rFonts w:ascii="Times New Roman" w:hAnsi="Times New Roman"/>
          <w:color w:val="000000"/>
        </w:rPr>
        <w:t xml:space="preserve">  </w:t>
      </w:r>
      <w:r>
        <w:rPr>
          <w:rFonts w:hint="eastAsia" w:ascii="Times New Roman" w:hAnsi="Times New Roman"/>
          <w:color w:val="000000"/>
        </w:rPr>
        <w:tab/>
      </w:r>
    </w:p>
    <w:p w14:paraId="22361AAE">
      <w:pPr>
        <w:rPr>
          <w:rFonts w:ascii="Times New Roman" w:hAnsi="Times New Roman" w:eastAsia="黑体"/>
          <w:color w:val="000000"/>
          <w:sz w:val="30"/>
        </w:rPr>
      </w:pPr>
    </w:p>
    <w:p w14:paraId="10AA3D1C">
      <w:pPr>
        <w:rPr>
          <w:rFonts w:ascii="Times New Roman" w:hAnsi="Times New Roman"/>
          <w:color w:val="000000"/>
          <w:sz w:val="32"/>
        </w:rPr>
      </w:pPr>
      <w:r>
        <w:rPr>
          <w:rFonts w:ascii="Times New Roman" w:hAnsi="Times New Roman"/>
          <w:color w:val="000000"/>
          <w:sz w:val="32"/>
        </w:rPr>
        <w:t xml:space="preserve">P                                       </w:t>
      </w:r>
      <w:r>
        <w:rPr>
          <w:rFonts w:ascii="Times New Roman" w:hAnsi="Times New Roman"/>
          <w:color w:val="000000"/>
          <w:sz w:val="30"/>
        </w:rPr>
        <w:t>T/CCES X－20XX</w:t>
      </w:r>
    </w:p>
    <w:p w14:paraId="6DF721FA">
      <w:pPr>
        <w:ind w:left="-735"/>
        <w:rPr>
          <w:rFonts w:ascii="Times New Roman" w:hAnsi="Times New Roman"/>
          <w:color w:val="000000"/>
        </w:rPr>
      </w:pPr>
      <w:r>
        <w:rPr>
          <w:rFonts w:ascii="Times New Roman" w:hAnsi="Times New Roman"/>
          <w:color w:val="000000"/>
          <w:sz w:val="20"/>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99060</wp:posOffset>
                </wp:positionV>
                <wp:extent cx="5943600" cy="0"/>
                <wp:effectExtent l="9525" t="14605" r="9525" b="13970"/>
                <wp:wrapNone/>
                <wp:docPr id="2" name="直线 6"/>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ln>
                      </wps:spPr>
                      <wps:bodyPr/>
                    </wps:wsp>
                  </a:graphicData>
                </a:graphic>
              </wp:anchor>
            </w:drawing>
          </mc:Choice>
          <mc:Fallback>
            <w:pict>
              <v:line id="直线 6" o:spid="_x0000_s1026" o:spt="20" style="position:absolute;left:0pt;margin-left:-18pt;margin-top:7.8pt;height:0pt;width:468pt;z-index:251659264;mso-width-relative:page;mso-height-relative:page;" filled="f" stroked="t" coordsize="21600,21600" o:gfxdata="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ifoGtUAAAAJAQAADwAAAAAAAAABACAA&#10;AAAiAAAAZHJzL2Rvd25yZXYueG1sUEsBAhQAFAAAAAgAh07iQIl0HR7XAQAAogMAAA4AAAAAAAAA&#10;AQAgAAAAJAEAAGRycy9lMm9Eb2MueG1sUEsFBgAAAAAGAAYAWQEAAG0FAAAAAA==&#10;">
                <v:fill on="f" focussize="0,0"/>
                <v:stroke weight="1.5pt" color="#000000" joinstyle="round"/>
                <v:imagedata o:title=""/>
                <o:lock v:ext="edit" aspectratio="f"/>
              </v:line>
            </w:pict>
          </mc:Fallback>
        </mc:AlternateContent>
      </w:r>
    </w:p>
    <w:p w14:paraId="3CDF669C">
      <w:pPr>
        <w:autoSpaceDE w:val="0"/>
        <w:autoSpaceDN w:val="0"/>
        <w:ind w:right="65"/>
        <w:jc w:val="center"/>
        <w:textAlignment w:val="bottom"/>
        <w:rPr>
          <w:rFonts w:ascii="Times New Roman" w:hAnsi="Times New Roman" w:eastAsia="黑体"/>
          <w:color w:val="000000"/>
          <w:sz w:val="36"/>
        </w:rPr>
      </w:pPr>
    </w:p>
    <w:p w14:paraId="61705300">
      <w:pPr>
        <w:spacing w:before="156" w:beforeLines="50"/>
        <w:jc w:val="center"/>
        <w:rPr>
          <w:rFonts w:ascii="Times New Roman" w:hAnsi="Times New Roman" w:eastAsia="黑体"/>
          <w:color w:val="000000"/>
          <w:sz w:val="48"/>
          <w:szCs w:val="48"/>
        </w:rPr>
      </w:pPr>
      <w:r>
        <w:rPr>
          <w:rFonts w:ascii="Times New Roman" w:hAnsi="Times New Roman" w:eastAsia="黑体"/>
          <w:color w:val="000000"/>
          <w:sz w:val="48"/>
          <w:szCs w:val="48"/>
        </w:rPr>
        <w:t>建设工程招标投标履约管理标准</w:t>
      </w:r>
    </w:p>
    <w:p w14:paraId="2D2D0928">
      <w:pPr>
        <w:jc w:val="center"/>
        <w:rPr>
          <w:rFonts w:ascii="Times New Roman" w:hAnsi="Times New Roman"/>
          <w:color w:val="000000"/>
          <w:sz w:val="30"/>
        </w:rPr>
      </w:pPr>
      <w:bookmarkStart w:id="0" w:name="_Hlk231656231"/>
      <w:r>
        <w:rPr>
          <w:rFonts w:ascii="Times New Roman" w:hAnsi="Times New Roman"/>
          <w:color w:val="000000"/>
          <w:sz w:val="30"/>
        </w:rPr>
        <w:t>Standard for Contract Performance Management of Tendering and Bidding in Construction Projects</w:t>
      </w:r>
      <w:bookmarkEnd w:id="0"/>
    </w:p>
    <w:p w14:paraId="33C51B6C">
      <w:pPr>
        <w:jc w:val="center"/>
        <w:rPr>
          <w:rFonts w:ascii="Times New Roman" w:hAnsi="Times New Roman" w:eastAsia="黑体"/>
          <w:color w:val="000000"/>
          <w:sz w:val="30"/>
        </w:rPr>
      </w:pPr>
      <w:r>
        <w:rPr>
          <w:rFonts w:ascii="Times New Roman" w:hAnsi="Times New Roman" w:eastAsia="黑体"/>
          <w:color w:val="000000"/>
          <w:sz w:val="30"/>
        </w:rPr>
        <w:t>（征求意见稿）</w:t>
      </w:r>
    </w:p>
    <w:p w14:paraId="2BB9DA8C">
      <w:pPr>
        <w:rPr>
          <w:rFonts w:ascii="Times New Roman" w:hAnsi="Times New Roman" w:eastAsia="黑体"/>
          <w:color w:val="000000"/>
          <w:sz w:val="30"/>
        </w:rPr>
      </w:pPr>
    </w:p>
    <w:p w14:paraId="1401FE4F">
      <w:pPr>
        <w:rPr>
          <w:rFonts w:ascii="Times New Roman" w:hAnsi="Times New Roman" w:eastAsia="黑体"/>
          <w:color w:val="000000"/>
          <w:sz w:val="30"/>
        </w:rPr>
      </w:pPr>
    </w:p>
    <w:p w14:paraId="2B85E12F">
      <w:pPr>
        <w:rPr>
          <w:rFonts w:ascii="Times New Roman" w:hAnsi="Times New Roman" w:eastAsia="黑体"/>
          <w:color w:val="000000"/>
          <w:sz w:val="30"/>
        </w:rPr>
      </w:pPr>
    </w:p>
    <w:p w14:paraId="4A1CA2AA">
      <w:pPr>
        <w:rPr>
          <w:rFonts w:ascii="Times New Roman" w:hAnsi="Times New Roman" w:eastAsia="黑体"/>
          <w:color w:val="000000"/>
          <w:sz w:val="30"/>
        </w:rPr>
      </w:pPr>
    </w:p>
    <w:p w14:paraId="47991E63">
      <w:pPr>
        <w:rPr>
          <w:rFonts w:ascii="Times New Roman" w:hAnsi="Times New Roman"/>
          <w:color w:val="333333"/>
          <w:shd w:val="clear" w:color="auto" w:fill="FFFFFF"/>
        </w:rPr>
      </w:pPr>
    </w:p>
    <w:p w14:paraId="582F9282">
      <w:pPr>
        <w:rPr>
          <w:rFonts w:ascii="Times New Roman" w:hAnsi="Times New Roman"/>
          <w:color w:val="333333"/>
          <w:shd w:val="clear" w:color="auto" w:fill="FFFFFF"/>
        </w:rPr>
      </w:pPr>
    </w:p>
    <w:p w14:paraId="34145733">
      <w:pPr>
        <w:rPr>
          <w:rFonts w:ascii="Times New Roman" w:hAnsi="Times New Roman"/>
          <w:color w:val="333333"/>
          <w:shd w:val="clear" w:color="auto" w:fill="FFFFFF"/>
        </w:rPr>
      </w:pPr>
    </w:p>
    <w:p w14:paraId="0B620E6E">
      <w:pPr>
        <w:rPr>
          <w:rFonts w:ascii="Times New Roman" w:hAnsi="Times New Roman" w:eastAsia="黑体"/>
          <w:color w:val="000000"/>
          <w:sz w:val="30"/>
        </w:rPr>
      </w:pPr>
    </w:p>
    <w:p w14:paraId="4BD04FB4">
      <w:pPr>
        <w:rPr>
          <w:rFonts w:ascii="Times New Roman" w:hAnsi="Times New Roman" w:eastAsia="黑体"/>
          <w:color w:val="000000"/>
          <w:sz w:val="30"/>
        </w:rPr>
      </w:pPr>
      <w:r>
        <w:rPr>
          <w:rFonts w:ascii="Times New Roman" w:hAnsi="Times New Roman" w:eastAsia="黑体"/>
          <w:color w:val="000000"/>
          <w:sz w:val="30"/>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326390</wp:posOffset>
                </wp:positionV>
                <wp:extent cx="5724525" cy="0"/>
                <wp:effectExtent l="9525" t="13335" r="9525" b="15240"/>
                <wp:wrapNone/>
                <wp:docPr id="1" name="直线 7"/>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19050">
                          <a:solidFill>
                            <a:srgbClr val="000000"/>
                          </a:solidFill>
                          <a:round/>
                        </a:ln>
                      </wps:spPr>
                      <wps:bodyPr/>
                    </wps:wsp>
                  </a:graphicData>
                </a:graphic>
              </wp:anchor>
            </w:drawing>
          </mc:Choice>
          <mc:Fallback>
            <w:pict>
              <v:line id="直线 7" o:spid="_x0000_s1026" o:spt="20" style="position:absolute;left:0pt;margin-left:-0.75pt;margin-top:25.7pt;height:0pt;width:450.75pt;z-index:251660288;mso-width-relative:page;mso-height-relative:page;" filled="f" stroked="t" coordsize="21600,21600" o:gfxdata="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655wftUAAAAIAQAADwAAAAAAAAABACAA&#10;AAAiAAAAZHJzL2Rvd25yZXYueG1sUEsBAhQAFAAAAAgAh07iQMU6HOnXAQAAogMAAA4AAAAAAAAA&#10;AQAgAAAAJAEAAGRycy9lMm9Eb2MueG1sUEsFBgAAAAAGAAYAWQEAAG0FAAAAAA==&#10;">
                <v:fill on="f" focussize="0,0"/>
                <v:stroke weight="1.5pt" color="#000000" joinstyle="round"/>
                <v:imagedata o:title=""/>
                <o:lock v:ext="edit" aspectratio="f"/>
              </v:line>
            </w:pict>
          </mc:Fallback>
        </mc:AlternateContent>
      </w:r>
      <w:r>
        <w:rPr>
          <w:rFonts w:ascii="Times New Roman" w:hAnsi="Times New Roman" w:eastAsia="黑体"/>
          <w:color w:val="000000"/>
          <w:sz w:val="30"/>
        </w:rPr>
        <w:t>20XX–XX–XX 发布</w:t>
      </w:r>
      <w:r>
        <w:rPr>
          <w:rFonts w:ascii="Times New Roman" w:hAnsi="Times New Roman" w:eastAsia="黑体"/>
          <w:color w:val="000000"/>
          <w:sz w:val="30"/>
        </w:rPr>
        <w:tab/>
      </w:r>
      <w:r>
        <w:rPr>
          <w:rFonts w:ascii="Times New Roman" w:hAnsi="Times New Roman" w:eastAsia="黑体"/>
          <w:color w:val="000000"/>
          <w:sz w:val="30"/>
        </w:rPr>
        <w:tab/>
      </w:r>
      <w:r>
        <w:rPr>
          <w:rFonts w:ascii="Times New Roman" w:hAnsi="Times New Roman" w:eastAsia="黑体"/>
          <w:color w:val="000000"/>
          <w:sz w:val="30"/>
        </w:rPr>
        <w:tab/>
      </w:r>
      <w:r>
        <w:rPr>
          <w:rFonts w:ascii="Times New Roman" w:hAnsi="Times New Roman" w:eastAsia="黑体"/>
          <w:color w:val="000000"/>
          <w:sz w:val="30"/>
        </w:rPr>
        <w:tab/>
      </w:r>
      <w:r>
        <w:rPr>
          <w:rFonts w:ascii="Times New Roman" w:hAnsi="Times New Roman" w:eastAsia="黑体"/>
          <w:color w:val="000000"/>
          <w:sz w:val="30"/>
        </w:rPr>
        <w:tab/>
      </w:r>
      <w:r>
        <w:rPr>
          <w:rFonts w:ascii="Times New Roman" w:hAnsi="Times New Roman" w:eastAsia="黑体"/>
          <w:color w:val="000000"/>
          <w:sz w:val="30"/>
        </w:rPr>
        <w:tab/>
      </w:r>
      <w:r>
        <w:rPr>
          <w:rFonts w:ascii="Times New Roman" w:hAnsi="Times New Roman" w:eastAsia="黑体"/>
          <w:color w:val="000000"/>
          <w:sz w:val="30"/>
        </w:rPr>
        <w:tab/>
      </w:r>
      <w:r>
        <w:rPr>
          <w:rFonts w:ascii="Times New Roman" w:hAnsi="Times New Roman" w:eastAsia="黑体"/>
          <w:color w:val="000000"/>
          <w:sz w:val="30"/>
        </w:rPr>
        <w:tab/>
      </w:r>
      <w:r>
        <w:rPr>
          <w:rFonts w:ascii="Times New Roman" w:hAnsi="Times New Roman" w:eastAsia="黑体"/>
          <w:color w:val="000000"/>
          <w:sz w:val="30"/>
        </w:rPr>
        <w:t xml:space="preserve">   20XX–XX–XX 实施</w:t>
      </w:r>
    </w:p>
    <w:p w14:paraId="118E79A5">
      <w:pPr>
        <w:jc w:val="center"/>
        <w:rPr>
          <w:rFonts w:ascii="Times New Roman" w:hAnsi="Times New Roman" w:eastAsia="黑体"/>
          <w:color w:val="000000"/>
          <w:sz w:val="30"/>
        </w:rPr>
      </w:pPr>
      <w:r>
        <w:rPr>
          <w:rFonts w:ascii="Times New Roman" w:hAnsi="Times New Roman" w:eastAsia="黑体"/>
          <w:color w:val="000000"/>
          <w:sz w:val="30"/>
        </w:rPr>
        <w:t>中国土木工程学会    发布</w:t>
      </w:r>
    </w:p>
    <w:p w14:paraId="222C609F">
      <w:pPr>
        <w:rPr>
          <w:rFonts w:ascii="Times New Roman" w:hAnsi="Times New Roman"/>
        </w:rPr>
        <w:sectPr>
          <w:headerReference r:id="rId5" w:type="default"/>
          <w:footerReference r:id="rId6" w:type="default"/>
          <w:footerReference r:id="rId7" w:type="even"/>
          <w:pgSz w:w="11907" w:h="16840"/>
          <w:pgMar w:top="1418" w:right="1440" w:bottom="1418" w:left="1440" w:header="851" w:footer="992" w:gutter="0"/>
          <w:cols w:space="720" w:num="1"/>
          <w:docGrid w:type="lines" w:linePitch="312" w:charSpace="0"/>
        </w:sectPr>
      </w:pPr>
    </w:p>
    <w:p w14:paraId="46A50291">
      <w:pPr>
        <w:jc w:val="center"/>
        <w:rPr>
          <w:rFonts w:ascii="Times New Roman" w:hAnsi="Times New Roman" w:eastAsia="黑体"/>
          <w:b/>
          <w:color w:val="000000"/>
          <w:sz w:val="32"/>
          <w:szCs w:val="32"/>
        </w:rPr>
      </w:pPr>
    </w:p>
    <w:p w14:paraId="436050B0">
      <w:pPr>
        <w:jc w:val="center"/>
        <w:rPr>
          <w:rFonts w:ascii="Times New Roman" w:hAnsi="Times New Roman"/>
          <w:b/>
          <w:color w:val="000000"/>
          <w:sz w:val="32"/>
          <w:szCs w:val="32"/>
        </w:rPr>
      </w:pPr>
      <w:r>
        <w:rPr>
          <w:rFonts w:ascii="Times New Roman" w:hAnsi="Times New Roman"/>
          <w:b/>
          <w:color w:val="000000"/>
          <w:sz w:val="32"/>
          <w:szCs w:val="32"/>
        </w:rPr>
        <w:t>中国土木工程学会标准</w:t>
      </w:r>
    </w:p>
    <w:p w14:paraId="61044BDF">
      <w:pPr>
        <w:jc w:val="center"/>
        <w:rPr>
          <w:rFonts w:ascii="Times New Roman" w:hAnsi="Times New Roman" w:eastAsia="黑体"/>
          <w:b/>
          <w:color w:val="000000"/>
          <w:sz w:val="32"/>
          <w:szCs w:val="32"/>
        </w:rPr>
      </w:pPr>
    </w:p>
    <w:p w14:paraId="7CDFA557">
      <w:pPr>
        <w:jc w:val="center"/>
        <w:rPr>
          <w:rFonts w:ascii="Times New Roman" w:hAnsi="Times New Roman" w:eastAsia="黑体"/>
          <w:b/>
          <w:color w:val="000000"/>
          <w:sz w:val="32"/>
          <w:szCs w:val="32"/>
        </w:rPr>
      </w:pPr>
    </w:p>
    <w:p w14:paraId="2AD6FA0F">
      <w:pPr>
        <w:jc w:val="center"/>
        <w:rPr>
          <w:rFonts w:ascii="Times New Roman" w:hAnsi="Times New Roman" w:eastAsia="黑体"/>
          <w:b/>
          <w:color w:val="000000"/>
          <w:sz w:val="32"/>
          <w:szCs w:val="32"/>
        </w:rPr>
      </w:pPr>
    </w:p>
    <w:p w14:paraId="1443EA3E">
      <w:pPr>
        <w:spacing w:before="156" w:beforeLines="50"/>
        <w:jc w:val="center"/>
        <w:rPr>
          <w:rFonts w:ascii="Times New Roman" w:hAnsi="Times New Roman" w:eastAsia="黑体"/>
          <w:color w:val="000000"/>
          <w:sz w:val="48"/>
          <w:szCs w:val="48"/>
        </w:rPr>
      </w:pPr>
      <w:r>
        <w:rPr>
          <w:rFonts w:ascii="Times New Roman" w:hAnsi="Times New Roman" w:eastAsia="黑体"/>
          <w:color w:val="000000"/>
          <w:sz w:val="48"/>
          <w:szCs w:val="48"/>
        </w:rPr>
        <w:t>建设工程招标投标履约管理标准</w:t>
      </w:r>
    </w:p>
    <w:p w14:paraId="0C7E095E">
      <w:pPr>
        <w:jc w:val="center"/>
        <w:rPr>
          <w:rFonts w:ascii="Times New Roman" w:hAnsi="Times New Roman"/>
          <w:color w:val="000000"/>
          <w:sz w:val="30"/>
        </w:rPr>
      </w:pPr>
      <w:r>
        <w:rPr>
          <w:rFonts w:ascii="Times New Roman" w:hAnsi="Times New Roman"/>
          <w:color w:val="000000"/>
          <w:sz w:val="30"/>
        </w:rPr>
        <w:t>Standard for Contract Performance Management of Tendering and Bidding in Construction Projects</w:t>
      </w:r>
    </w:p>
    <w:p w14:paraId="5A3A2181">
      <w:pPr>
        <w:rPr>
          <w:rFonts w:ascii="Times New Roman" w:hAnsi="Times New Roman" w:eastAsia="黑体"/>
          <w:b/>
          <w:color w:val="000000"/>
          <w:sz w:val="28"/>
          <w:szCs w:val="28"/>
        </w:rPr>
      </w:pPr>
    </w:p>
    <w:p w14:paraId="03244136">
      <w:pPr>
        <w:jc w:val="center"/>
        <w:rPr>
          <w:rFonts w:ascii="Times New Roman" w:hAnsi="Times New Roman" w:eastAsia="黑体"/>
          <w:b/>
          <w:color w:val="000000"/>
          <w:sz w:val="28"/>
          <w:szCs w:val="28"/>
        </w:rPr>
      </w:pPr>
    </w:p>
    <w:p w14:paraId="20E664F3">
      <w:pPr>
        <w:jc w:val="center"/>
        <w:rPr>
          <w:rFonts w:ascii="Times New Roman" w:hAnsi="Times New Roman" w:eastAsia="黑体"/>
          <w:b/>
          <w:color w:val="000000"/>
          <w:sz w:val="28"/>
          <w:szCs w:val="28"/>
        </w:rPr>
      </w:pPr>
      <w:r>
        <w:rPr>
          <w:rFonts w:ascii="Times New Roman" w:hAnsi="Times New Roman" w:eastAsia="黑体"/>
          <w:b/>
          <w:color w:val="000000"/>
          <w:sz w:val="28"/>
          <w:szCs w:val="28"/>
        </w:rPr>
        <w:t>T/CCES X－20XX</w:t>
      </w:r>
    </w:p>
    <w:p w14:paraId="41BB77D3">
      <w:pPr>
        <w:ind w:firstLine="3233" w:firstLineChars="1150"/>
        <w:rPr>
          <w:rFonts w:ascii="Times New Roman" w:hAnsi="Times New Roman" w:eastAsia="黑体"/>
          <w:b/>
          <w:color w:val="000000"/>
          <w:sz w:val="28"/>
          <w:szCs w:val="28"/>
        </w:rPr>
      </w:pPr>
    </w:p>
    <w:p w14:paraId="4FF0B750">
      <w:pPr>
        <w:ind w:firstLine="2520" w:firstLineChars="900"/>
        <w:rPr>
          <w:rFonts w:ascii="Times New Roman" w:hAnsi="Times New Roman"/>
          <w:color w:val="000000"/>
          <w:sz w:val="28"/>
          <w:szCs w:val="28"/>
        </w:rPr>
      </w:pPr>
    </w:p>
    <w:p w14:paraId="60B553D9">
      <w:pPr>
        <w:ind w:firstLine="2520" w:firstLineChars="900"/>
        <w:rPr>
          <w:rFonts w:ascii="Times New Roman" w:hAnsi="Times New Roman"/>
          <w:color w:val="000000"/>
          <w:sz w:val="28"/>
          <w:szCs w:val="28"/>
        </w:rPr>
      </w:pPr>
      <w:r>
        <w:rPr>
          <w:rFonts w:ascii="Times New Roman" w:hAnsi="Times New Roman"/>
          <w:color w:val="000000"/>
          <w:sz w:val="28"/>
          <w:szCs w:val="28"/>
        </w:rPr>
        <w:t>批准单位：中国土木工程学会</w:t>
      </w:r>
    </w:p>
    <w:p w14:paraId="275E993B">
      <w:pPr>
        <w:ind w:firstLine="2520" w:firstLineChars="900"/>
        <w:rPr>
          <w:rFonts w:ascii="Times New Roman" w:hAnsi="Times New Roman"/>
          <w:color w:val="000000"/>
          <w:szCs w:val="21"/>
        </w:rPr>
      </w:pPr>
      <w:r>
        <w:rPr>
          <w:rFonts w:ascii="Times New Roman" w:hAnsi="Times New Roman"/>
          <w:color w:val="000000"/>
          <w:sz w:val="28"/>
          <w:szCs w:val="28"/>
        </w:rPr>
        <w:t>施行日期：20XX年X月X日</w:t>
      </w:r>
    </w:p>
    <w:p w14:paraId="73292766">
      <w:pPr>
        <w:rPr>
          <w:rFonts w:ascii="Times New Roman" w:hAnsi="Times New Roman" w:eastAsia="黑体"/>
          <w:b/>
          <w:color w:val="000000"/>
          <w:sz w:val="32"/>
          <w:szCs w:val="32"/>
        </w:rPr>
      </w:pPr>
    </w:p>
    <w:p w14:paraId="0CD97263">
      <w:pPr>
        <w:rPr>
          <w:rFonts w:ascii="Times New Roman" w:hAnsi="Times New Roman" w:eastAsia="黑体"/>
          <w:b/>
          <w:color w:val="000000"/>
          <w:sz w:val="32"/>
          <w:szCs w:val="32"/>
        </w:rPr>
      </w:pPr>
    </w:p>
    <w:p w14:paraId="0D05FD09">
      <w:pPr>
        <w:jc w:val="center"/>
        <w:rPr>
          <w:rFonts w:ascii="Times New Roman" w:hAnsi="Times New Roman" w:eastAsia="仿宋_GB2312"/>
          <w:color w:val="000000"/>
          <w:sz w:val="28"/>
          <w:szCs w:val="28"/>
        </w:rPr>
      </w:pPr>
    </w:p>
    <w:p w14:paraId="39C8F72B">
      <w:pPr>
        <w:jc w:val="center"/>
        <w:rPr>
          <w:rFonts w:ascii="Times New Roman" w:hAnsi="Times New Roman" w:eastAsia="仿宋_GB2312"/>
          <w:color w:val="000000"/>
          <w:sz w:val="28"/>
          <w:szCs w:val="28"/>
        </w:rPr>
      </w:pPr>
    </w:p>
    <w:p w14:paraId="6DBF0F99">
      <w:pPr>
        <w:rPr>
          <w:rFonts w:ascii="Times New Roman" w:hAnsi="Times New Roman" w:eastAsia="黑体"/>
          <w:color w:val="000000"/>
          <w:sz w:val="28"/>
          <w:szCs w:val="28"/>
        </w:rPr>
      </w:pPr>
    </w:p>
    <w:p w14:paraId="5CEBA892">
      <w:pPr>
        <w:jc w:val="center"/>
        <w:rPr>
          <w:rFonts w:ascii="Times New Roman" w:hAnsi="Times New Roman" w:eastAsia="黑体"/>
          <w:b/>
          <w:color w:val="000000"/>
          <w:sz w:val="28"/>
          <w:szCs w:val="28"/>
        </w:rPr>
        <w:sectPr>
          <w:footerReference r:id="rId8" w:type="default"/>
          <w:footerReference r:id="rId9" w:type="even"/>
          <w:type w:val="continuous"/>
          <w:pgSz w:w="11906" w:h="16838"/>
          <w:pgMar w:top="1418" w:right="1701" w:bottom="1418" w:left="1701" w:header="851" w:footer="992" w:gutter="0"/>
          <w:pgNumType w:start="1"/>
          <w:cols w:space="720" w:num="1"/>
          <w:docGrid w:type="lines" w:linePitch="312" w:charSpace="0"/>
        </w:sectPr>
      </w:pPr>
      <w:r>
        <w:rPr>
          <w:rFonts w:ascii="Times New Roman" w:hAnsi="Times New Roman" w:eastAsia="黑体"/>
          <w:color w:val="000000"/>
          <w:sz w:val="28"/>
          <w:szCs w:val="28"/>
        </w:rPr>
        <w:t>20XX  北  京</w:t>
      </w:r>
    </w:p>
    <w:p w14:paraId="362E342F">
      <w:pPr>
        <w:pStyle w:val="30"/>
        <w:spacing w:before="312" w:beforeLines="100" w:after="312" w:afterLines="100" w:line="360" w:lineRule="auto"/>
        <w:jc w:val="center"/>
        <w:rPr>
          <w:rFonts w:ascii="Times New Roman" w:hAnsi="Times New Roman"/>
          <w:color w:val="000000"/>
        </w:rPr>
      </w:pPr>
      <w:r>
        <w:rPr>
          <w:rFonts w:ascii="Times New Roman" w:hAnsi="Times New Roman"/>
          <w:color w:val="000000"/>
        </w:rPr>
        <w:t>前  言</w:t>
      </w:r>
    </w:p>
    <w:p w14:paraId="2594C4A5">
      <w:pPr>
        <w:spacing w:line="312" w:lineRule="auto"/>
        <w:ind w:firstLine="480" w:firstLineChars="200"/>
        <w:rPr>
          <w:rFonts w:ascii="Times New Roman" w:hAnsi="Times New Roman"/>
          <w:color w:val="000000"/>
          <w:kern w:val="0"/>
        </w:rPr>
      </w:pPr>
      <w:r>
        <w:rPr>
          <w:rFonts w:ascii="Times New Roman" w:hAnsi="Times New Roman"/>
          <w:color w:val="000000"/>
          <w:kern w:val="0"/>
        </w:rPr>
        <w:t>本标准是根据中国土木工程学会《关于发布〈2026年中国土木工程学会标准立项计划（第一批）〉的通知》（中土学标〔2026〕2号）的要求，由中国土木工程学会建筑市场与招标投标研究分会、温州市鹿城区住房和城乡建设局会同有关单位编制完成。</w:t>
      </w:r>
    </w:p>
    <w:p w14:paraId="5748B20D">
      <w:pPr>
        <w:spacing w:line="312" w:lineRule="auto"/>
        <w:ind w:firstLine="480" w:firstLineChars="200"/>
        <w:rPr>
          <w:rFonts w:ascii="Times New Roman" w:hAnsi="Times New Roman"/>
          <w:color w:val="000000"/>
          <w:kern w:val="0"/>
        </w:rPr>
      </w:pPr>
      <w:r>
        <w:rPr>
          <w:rFonts w:ascii="Times New Roman" w:hAnsi="Times New Roman"/>
          <w:color w:val="000000"/>
          <w:kern w:val="0"/>
        </w:rPr>
        <w:t>本标准是国内首部聚焦建设工程</w:t>
      </w:r>
      <w:r>
        <w:rPr>
          <w:rFonts w:hint="eastAsia" w:ascii="Times New Roman" w:hAnsi="Times New Roman"/>
          <w:color w:val="000000"/>
          <w:kern w:val="0"/>
        </w:rPr>
        <w:t>招标</w:t>
      </w:r>
      <w:r>
        <w:rPr>
          <w:rFonts w:ascii="Times New Roman" w:hAnsi="Times New Roman"/>
          <w:color w:val="000000"/>
          <w:kern w:val="0"/>
        </w:rPr>
        <w:t>项目中标后履约管理的专项标准，在编制过程中，编制组广泛调查、研究和总结了建设工程招标投标履约管理的实践经验，系统梳理了合同订立、资源投入、进度质量安全管控、履约验收、履约评价及信用联动等环节存在的突出问题，参考了国内外有关合同管理、履约担保、信用体系建设等先进经验，并在广泛征求意见基础上，对具体内容进行了反复讨论、协调和修改，最后经审查定稿。</w:t>
      </w:r>
    </w:p>
    <w:p w14:paraId="1AE37AD6">
      <w:pPr>
        <w:spacing w:line="312" w:lineRule="auto"/>
        <w:ind w:firstLine="480" w:firstLineChars="200"/>
        <w:rPr>
          <w:rFonts w:ascii="Times New Roman" w:hAnsi="Times New Roman"/>
          <w:color w:val="000000"/>
          <w:kern w:val="0"/>
        </w:rPr>
      </w:pPr>
      <w:r>
        <w:rPr>
          <w:rFonts w:ascii="Times New Roman" w:hAnsi="Times New Roman"/>
          <w:color w:val="000000"/>
          <w:kern w:val="0"/>
        </w:rPr>
        <w:t>本标准的主要技术内容是：总则，术语与参考标准，基本规定，合同订立与履约准备管理，风险管理，资源管理，进度管理，质量管理，安全与环境管理，费用与支付管理，履约验收管理，质量保证期管理，履约评价与信用管理，争议管理，主管部门监督管理，履约管理数智化。</w:t>
      </w:r>
    </w:p>
    <w:p w14:paraId="23EC1C9D">
      <w:pPr>
        <w:spacing w:line="312" w:lineRule="auto"/>
        <w:ind w:firstLine="480" w:firstLineChars="200"/>
        <w:rPr>
          <w:rFonts w:ascii="Times New Roman" w:hAnsi="Times New Roman" w:eastAsia="宋体"/>
          <w:color w:val="000000"/>
          <w:kern w:val="0"/>
        </w:rPr>
      </w:pPr>
      <w:r>
        <w:rPr>
          <w:rFonts w:ascii="Times New Roman" w:hAnsi="Times New Roman"/>
          <w:color w:val="000000"/>
          <w:kern w:val="0"/>
        </w:rPr>
        <w:t>请注意本标准的某些内容可能涉及专利。本标准的发布机构不承担识别这些专利的责任。</w:t>
      </w:r>
    </w:p>
    <w:p w14:paraId="71B931B5">
      <w:pPr>
        <w:spacing w:line="312" w:lineRule="auto"/>
        <w:ind w:firstLine="480" w:firstLineChars="200"/>
        <w:rPr>
          <w:rFonts w:hint="eastAsia" w:ascii="Times New Roman" w:hAnsi="Times New Roman" w:eastAsia="宋体"/>
          <w:color w:val="000000"/>
          <w:kern w:val="0"/>
          <w:lang w:eastAsia="zh-CN"/>
        </w:rPr>
      </w:pPr>
      <w:r>
        <w:rPr>
          <w:rFonts w:hint="eastAsia" w:ascii="Times New Roman" w:hAnsi="Times New Roman" w:eastAsia="宋体"/>
          <w:color w:val="000000"/>
          <w:kern w:val="0"/>
        </w:rPr>
        <w:t>本标准由中国土木工程学会学术与标准工作委员会负责管理，</w:t>
      </w:r>
      <w:r>
        <w:rPr>
          <w:rFonts w:hint="eastAsia" w:ascii="Times New Roman" w:hAnsi="Times New Roman" w:eastAsia="宋体"/>
          <w:color w:val="000000"/>
          <w:kern w:val="0"/>
          <w:lang w:eastAsia="zh-CN"/>
        </w:rPr>
        <w:t>由</w:t>
      </w:r>
      <w:r>
        <w:rPr>
          <w:rFonts w:hint="eastAsia" w:ascii="Times New Roman" w:hAnsi="Times New Roman" w:eastAsia="宋体"/>
          <w:color w:val="000000"/>
          <w:kern w:val="0"/>
        </w:rPr>
        <w:t>温州市鹿城区住房和城乡建设局负责具体技术内容的解释。执行过程中如有修改意见或建议，请寄送中国土木工程学会建筑市场与招标投标研究分会（地址：北京市海淀区首都体育馆南路20号国兴家园5号楼803；邮政编码：100044；电子邮箱：zhaotoubiao</w:t>
      </w:r>
      <w:r>
        <w:rPr>
          <w:rFonts w:hint="eastAsia" w:ascii="Times New Roman" w:hAnsi="Times New Roman" w:eastAsia="宋体"/>
          <w:color w:val="000000"/>
          <w:kern w:val="0"/>
          <w:lang w:val="en-US" w:eastAsia="zh-CN"/>
        </w:rPr>
        <w:t>5803</w:t>
      </w:r>
      <w:r>
        <w:rPr>
          <w:rFonts w:hint="eastAsia" w:ascii="Times New Roman" w:hAnsi="Times New Roman" w:eastAsia="宋体"/>
          <w:color w:val="000000"/>
          <w:kern w:val="0"/>
        </w:rPr>
        <w:t>@sina.com ）</w:t>
      </w:r>
      <w:r>
        <w:rPr>
          <w:rFonts w:hint="eastAsia" w:ascii="Times New Roman" w:hAnsi="Times New Roman" w:eastAsia="宋体"/>
          <w:color w:val="000000"/>
          <w:kern w:val="0"/>
          <w:lang w:eastAsia="zh-CN"/>
        </w:rPr>
        <w:t>。</w:t>
      </w:r>
    </w:p>
    <w:p w14:paraId="66E12653">
      <w:pPr>
        <w:spacing w:line="312" w:lineRule="auto"/>
        <w:ind w:firstLine="480" w:firstLineChars="200"/>
        <w:rPr>
          <w:rFonts w:ascii="Times New Roman" w:hAnsi="Times New Roman" w:eastAsia="宋体"/>
          <w:color w:val="000000"/>
          <w:kern w:val="0"/>
        </w:rPr>
      </w:pPr>
      <w:r>
        <w:rPr>
          <w:rFonts w:ascii="Times New Roman" w:hAnsi="Times New Roman" w:eastAsia="宋体"/>
          <w:color w:val="000000"/>
          <w:kern w:val="0"/>
        </w:rPr>
        <w:t>本标准主编单位：中国土木工程学会建筑市场与招标投标研究分会</w:t>
      </w:r>
    </w:p>
    <w:p w14:paraId="45ECE7F8">
      <w:pPr>
        <w:spacing w:line="312" w:lineRule="auto"/>
        <w:ind w:firstLine="2400" w:firstLineChars="1000"/>
        <w:rPr>
          <w:rFonts w:ascii="Times New Roman" w:hAnsi="Times New Roman"/>
          <w:color w:val="000000"/>
          <w:kern w:val="0"/>
        </w:rPr>
      </w:pPr>
      <w:r>
        <w:rPr>
          <w:rFonts w:ascii="Times New Roman" w:hAnsi="Times New Roman" w:eastAsia="宋体"/>
          <w:color w:val="000000"/>
          <w:kern w:val="0"/>
        </w:rPr>
        <w:t>温州市</w:t>
      </w:r>
      <w:r>
        <w:rPr>
          <w:rFonts w:ascii="Times New Roman" w:hAnsi="Times New Roman"/>
          <w:color w:val="000000"/>
          <w:kern w:val="0"/>
        </w:rPr>
        <w:t>鹿城区住房和城乡建设局</w:t>
      </w:r>
    </w:p>
    <w:p w14:paraId="2C8BFE4B">
      <w:pPr>
        <w:spacing w:line="312" w:lineRule="auto"/>
        <w:ind w:firstLine="480" w:firstLineChars="200"/>
        <w:rPr>
          <w:rFonts w:ascii="Times New Roman" w:hAnsi="Times New Roman"/>
          <w:color w:val="000000"/>
          <w:kern w:val="0"/>
        </w:rPr>
      </w:pPr>
      <w:r>
        <w:rPr>
          <w:rFonts w:ascii="Times New Roman" w:hAnsi="Times New Roman"/>
          <w:color w:val="000000"/>
          <w:kern w:val="0"/>
        </w:rPr>
        <w:t>本标准参编单位：XXXX</w:t>
      </w:r>
    </w:p>
    <w:p w14:paraId="11A75DFD">
      <w:pPr>
        <w:spacing w:line="312" w:lineRule="auto"/>
        <w:ind w:firstLine="480" w:firstLineChars="200"/>
        <w:rPr>
          <w:rFonts w:ascii="Times New Roman" w:hAnsi="Times New Roman"/>
          <w:color w:val="000000"/>
          <w:kern w:val="0"/>
        </w:rPr>
      </w:pPr>
      <w:r>
        <w:rPr>
          <w:rFonts w:ascii="Times New Roman" w:hAnsi="Times New Roman"/>
          <w:color w:val="000000"/>
          <w:kern w:val="0"/>
        </w:rPr>
        <w:t>本标准主要起草人员：XXXX</w:t>
      </w:r>
    </w:p>
    <w:p w14:paraId="5CCD651C">
      <w:pPr>
        <w:spacing w:line="312" w:lineRule="auto"/>
        <w:ind w:firstLine="480" w:firstLineChars="200"/>
        <w:rPr>
          <w:rFonts w:ascii="Times New Roman" w:hAnsi="Times New Roman"/>
          <w:color w:val="000000"/>
          <w:kern w:val="0"/>
        </w:rPr>
      </w:pPr>
      <w:r>
        <w:rPr>
          <w:rFonts w:ascii="Times New Roman" w:hAnsi="Times New Roman"/>
          <w:color w:val="000000"/>
          <w:kern w:val="0"/>
        </w:rPr>
        <w:t>本标准主要审查人员：XXXX</w:t>
      </w:r>
    </w:p>
    <w:p w14:paraId="4EACD7D6">
      <w:pPr>
        <w:pStyle w:val="30"/>
        <w:spacing w:before="312" w:beforeLines="100" w:after="312" w:afterLines="100" w:line="360" w:lineRule="auto"/>
        <w:jc w:val="center"/>
        <w:rPr>
          <w:rFonts w:ascii="Times New Roman" w:hAnsi="Times New Roman"/>
          <w:color w:val="000000"/>
        </w:rPr>
      </w:pPr>
      <w:r>
        <w:rPr>
          <w:rFonts w:ascii="Times New Roman" w:hAnsi="Times New Roman"/>
          <w:sz w:val="24"/>
        </w:rPr>
        <w:br w:type="page"/>
      </w:r>
    </w:p>
    <w:p w14:paraId="57E0FF76">
      <w:pPr>
        <w:pStyle w:val="16"/>
        <w:tabs>
          <w:tab w:val="right" w:leader="dot" w:pos="8494"/>
          <w:tab w:val="clear" w:pos="8504"/>
        </w:tabs>
        <w:rPr>
          <w:b/>
          <w:sz w:val="28"/>
          <w:szCs w:val="28"/>
        </w:rPr>
      </w:pPr>
      <w:r>
        <w:rPr>
          <w:b/>
          <w:sz w:val="28"/>
          <w:szCs w:val="28"/>
        </w:rPr>
        <w:t>目  次</w:t>
      </w:r>
    </w:p>
    <w:p w14:paraId="41553D0D">
      <w:pPr>
        <w:pStyle w:val="16"/>
        <w:rPr>
          <w:rFonts w:hint="default" w:ascii="Times New Roman" w:hAnsi="Times New Roman" w:cs="Times New Roman"/>
        </w:rPr>
      </w:pPr>
      <w:r>
        <w:fldChar w:fldCharType="begin"/>
      </w:r>
      <w:r>
        <w:instrText xml:space="preserve">TOC \o "1-2" \h \u </w:instrText>
      </w:r>
      <w: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_Toc2073268490 </w:instrText>
      </w:r>
      <w:r>
        <w:rPr>
          <w:rFonts w:hint="default" w:ascii="Times New Roman" w:hAnsi="Times New Roman" w:cs="Times New Roman"/>
        </w:rPr>
        <w:fldChar w:fldCharType="separate"/>
      </w:r>
      <w:r>
        <w:rPr>
          <w:rFonts w:hint="default" w:ascii="Times New Roman" w:hAnsi="Times New Roman" w:cs="Times New Roman"/>
          <w:szCs w:val="32"/>
        </w:rPr>
        <w:t>1  总  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_Toc2073268490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1207809A">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_Toc1918775665 </w:instrText>
      </w:r>
      <w:r>
        <w:rPr>
          <w:rFonts w:hint="default" w:ascii="Times New Roman" w:hAnsi="Times New Roman" w:cs="Times New Roman"/>
        </w:rPr>
        <w:fldChar w:fldCharType="separate"/>
      </w:r>
      <w:r>
        <w:rPr>
          <w:rFonts w:hint="default" w:ascii="Times New Roman" w:hAnsi="Times New Roman" w:cs="Times New Roman"/>
          <w:szCs w:val="32"/>
        </w:rPr>
        <w:t xml:space="preserve">2 </w:t>
      </w:r>
      <w:r>
        <w:rPr>
          <w:rFonts w:hint="default" w:ascii="Times New Roman" w:hAnsi="Times New Roman" w:cs="Times New Roman"/>
        </w:rPr>
        <w:t xml:space="preserve"> 术语与参考标准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_Toc1918775665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04D055A0">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_Toc1994766344 </w:instrText>
      </w:r>
      <w:r>
        <w:rPr>
          <w:rFonts w:hint="default" w:ascii="Times New Roman" w:hAnsi="Times New Roman" w:cs="Times New Roman"/>
        </w:rPr>
        <w:fldChar w:fldCharType="separate"/>
      </w:r>
      <w:r>
        <w:rPr>
          <w:rFonts w:hint="default" w:ascii="Times New Roman" w:hAnsi="Times New Roman" w:cs="Times New Roman"/>
          <w:szCs w:val="32"/>
        </w:rPr>
        <w:t xml:space="preserve">2.1  </w:t>
      </w:r>
      <w:r>
        <w:rPr>
          <w:rFonts w:hint="default" w:ascii="Times New Roman" w:hAnsi="Times New Roman" w:cs="Times New Roman"/>
        </w:rPr>
        <w:t>术  语</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_Toc1994766344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64ADC11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_Toc1406605758 </w:instrText>
      </w:r>
      <w:r>
        <w:rPr>
          <w:rFonts w:hint="default" w:ascii="Times New Roman" w:hAnsi="Times New Roman" w:cs="Times New Roman"/>
        </w:rPr>
        <w:fldChar w:fldCharType="separate"/>
      </w:r>
      <w:r>
        <w:rPr>
          <w:rFonts w:hint="default" w:ascii="Times New Roman" w:hAnsi="Times New Roman" w:cs="Times New Roman"/>
          <w:szCs w:val="32"/>
        </w:rPr>
        <w:t xml:space="preserve">2.2  </w:t>
      </w:r>
      <w:r>
        <w:rPr>
          <w:rFonts w:hint="default" w:ascii="Times New Roman" w:hAnsi="Times New Roman" w:cs="Times New Roman"/>
        </w:rPr>
        <w:t>参考标准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_Toc1406605758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14:paraId="6C42FBEA">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_Toc2066460073 </w:instrText>
      </w:r>
      <w:r>
        <w:rPr>
          <w:rFonts w:hint="default" w:ascii="Times New Roman" w:hAnsi="Times New Roman" w:cs="Times New Roman"/>
        </w:rPr>
        <w:fldChar w:fldCharType="separate"/>
      </w:r>
      <w:r>
        <w:rPr>
          <w:rFonts w:hint="default" w:ascii="Times New Roman" w:hAnsi="Times New Roman" w:cs="Times New Roman"/>
          <w:szCs w:val="32"/>
        </w:rPr>
        <w:t xml:space="preserve">3 </w:t>
      </w:r>
      <w:r>
        <w:rPr>
          <w:rFonts w:hint="default" w:ascii="Times New Roman" w:hAnsi="Times New Roman" w:cs="Times New Roman"/>
        </w:rPr>
        <w:t xml:space="preserve"> 基本规定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_Toc2066460073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fldChar w:fldCharType="end"/>
      </w:r>
    </w:p>
    <w:p w14:paraId="688796DB">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_Toc1195382819 </w:instrText>
      </w:r>
      <w:r>
        <w:rPr>
          <w:rFonts w:hint="default" w:ascii="Times New Roman" w:hAnsi="Times New Roman" w:cs="Times New Roman"/>
        </w:rPr>
        <w:fldChar w:fldCharType="separate"/>
      </w:r>
      <w:r>
        <w:rPr>
          <w:rFonts w:hint="default" w:ascii="Times New Roman" w:hAnsi="Times New Roman" w:cs="Times New Roman"/>
          <w:szCs w:val="32"/>
        </w:rPr>
        <w:t xml:space="preserve">3.1  </w:t>
      </w:r>
      <w:r>
        <w:rPr>
          <w:rFonts w:hint="default" w:ascii="Times New Roman" w:hAnsi="Times New Roman" w:cs="Times New Roman"/>
        </w:rPr>
        <w:t>基本原则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_Toc1195382819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fldChar w:fldCharType="end"/>
      </w:r>
    </w:p>
    <w:p w14:paraId="693B9B20">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_Toc1620437710 </w:instrText>
      </w:r>
      <w:r>
        <w:rPr>
          <w:rFonts w:hint="default" w:ascii="Times New Roman" w:hAnsi="Times New Roman" w:cs="Times New Roman"/>
        </w:rPr>
        <w:fldChar w:fldCharType="separate"/>
      </w:r>
      <w:r>
        <w:rPr>
          <w:rFonts w:hint="default" w:ascii="Times New Roman" w:hAnsi="Times New Roman" w:cs="Times New Roman"/>
          <w:szCs w:val="32"/>
        </w:rPr>
        <w:t xml:space="preserve">3.2  </w:t>
      </w:r>
      <w:r>
        <w:rPr>
          <w:rFonts w:hint="default" w:ascii="Times New Roman" w:hAnsi="Times New Roman" w:cs="Times New Roman"/>
        </w:rPr>
        <w:t>管理目标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_Toc1620437710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fldChar w:fldCharType="end"/>
      </w:r>
    </w:p>
    <w:p w14:paraId="63898FDC">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_Toc2057710865 </w:instrText>
      </w:r>
      <w:r>
        <w:rPr>
          <w:rFonts w:hint="default" w:ascii="Times New Roman" w:hAnsi="Times New Roman" w:cs="Times New Roman"/>
        </w:rPr>
        <w:fldChar w:fldCharType="separate"/>
      </w:r>
      <w:r>
        <w:rPr>
          <w:rFonts w:hint="default" w:ascii="Times New Roman" w:hAnsi="Times New Roman" w:cs="Times New Roman"/>
          <w:szCs w:val="32"/>
        </w:rPr>
        <w:t xml:space="preserve">3.3  </w:t>
      </w:r>
      <w:r>
        <w:rPr>
          <w:rFonts w:hint="default" w:ascii="Times New Roman" w:hAnsi="Times New Roman" w:cs="Times New Roman"/>
        </w:rPr>
        <w:t>管理依据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_Toc2057710865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fldChar w:fldCharType="end"/>
      </w:r>
    </w:p>
    <w:p w14:paraId="400386AE">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_Toc621498622 </w:instrText>
      </w:r>
      <w:r>
        <w:rPr>
          <w:rFonts w:hint="default" w:ascii="Times New Roman" w:hAnsi="Times New Roman" w:cs="Times New Roman"/>
        </w:rPr>
        <w:fldChar w:fldCharType="separate"/>
      </w:r>
      <w:r>
        <w:rPr>
          <w:rFonts w:hint="default" w:ascii="Times New Roman" w:hAnsi="Times New Roman" w:cs="Times New Roman"/>
          <w:szCs w:val="32"/>
        </w:rPr>
        <w:t xml:space="preserve">3.4  </w:t>
      </w:r>
      <w:r>
        <w:rPr>
          <w:rFonts w:hint="default" w:ascii="Times New Roman" w:hAnsi="Times New Roman" w:cs="Times New Roman"/>
        </w:rPr>
        <w:t>各方职责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_Toc621498622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rPr>
        <w:fldChar w:fldCharType="end"/>
      </w:r>
    </w:p>
    <w:p w14:paraId="6A291E8B">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_Toc1067662150 </w:instrText>
      </w:r>
      <w:r>
        <w:rPr>
          <w:rFonts w:hint="default" w:ascii="Times New Roman" w:hAnsi="Times New Roman" w:cs="Times New Roman"/>
        </w:rPr>
        <w:fldChar w:fldCharType="separate"/>
      </w:r>
      <w:r>
        <w:rPr>
          <w:rFonts w:hint="default" w:ascii="Times New Roman" w:hAnsi="Times New Roman" w:cs="Times New Roman"/>
          <w:szCs w:val="32"/>
        </w:rPr>
        <w:t xml:space="preserve">3.5  </w:t>
      </w:r>
      <w:r>
        <w:rPr>
          <w:rFonts w:hint="default" w:ascii="Times New Roman" w:hAnsi="Times New Roman" w:cs="Times New Roman"/>
        </w:rPr>
        <w:t>管理程序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_Toc1067662150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6EC551F0">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_Toc1708858281 </w:instrText>
      </w:r>
      <w:r>
        <w:rPr>
          <w:rFonts w:hint="default" w:ascii="Times New Roman" w:hAnsi="Times New Roman" w:cs="Times New Roman"/>
        </w:rPr>
        <w:fldChar w:fldCharType="separate"/>
      </w:r>
      <w:r>
        <w:rPr>
          <w:rFonts w:hint="default" w:ascii="Times New Roman" w:hAnsi="Times New Roman" w:cs="Times New Roman"/>
          <w:szCs w:val="32"/>
        </w:rPr>
        <w:t xml:space="preserve">4 </w:t>
      </w:r>
      <w:r>
        <w:rPr>
          <w:rFonts w:hint="default" w:ascii="Times New Roman" w:hAnsi="Times New Roman" w:cs="Times New Roman"/>
        </w:rPr>
        <w:t xml:space="preserve"> 合同订立与履约准备管理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_Toc1708858281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14:paraId="2B19FF24">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_Toc1068894543 </w:instrText>
      </w:r>
      <w:r>
        <w:rPr>
          <w:rFonts w:hint="default" w:ascii="Times New Roman" w:hAnsi="Times New Roman" w:cs="Times New Roman"/>
        </w:rPr>
        <w:fldChar w:fldCharType="separate"/>
      </w:r>
      <w:r>
        <w:rPr>
          <w:rFonts w:hint="default" w:ascii="Times New Roman" w:hAnsi="Times New Roman" w:cs="Times New Roman"/>
          <w:szCs w:val="32"/>
        </w:rPr>
        <w:t xml:space="preserve">4.1  </w:t>
      </w:r>
      <w:r>
        <w:rPr>
          <w:rFonts w:hint="default" w:ascii="Times New Roman" w:hAnsi="Times New Roman" w:cs="Times New Roman"/>
        </w:rPr>
        <w:t>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_Toc1068894543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14:paraId="0C1AB93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_Toc2090088410 </w:instrText>
      </w:r>
      <w:r>
        <w:rPr>
          <w:rFonts w:hint="default" w:ascii="Times New Roman" w:hAnsi="Times New Roman" w:cs="Times New Roman"/>
        </w:rPr>
        <w:fldChar w:fldCharType="separate"/>
      </w:r>
      <w:r>
        <w:rPr>
          <w:rFonts w:hint="default" w:ascii="Times New Roman" w:hAnsi="Times New Roman" w:cs="Times New Roman"/>
          <w:szCs w:val="32"/>
        </w:rPr>
        <w:t xml:space="preserve">4.2  </w:t>
      </w:r>
      <w:r>
        <w:rPr>
          <w:rFonts w:hint="default" w:ascii="Times New Roman" w:hAnsi="Times New Roman" w:cs="Times New Roman"/>
        </w:rPr>
        <w:t>合同订立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_Toc2090088410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14:paraId="7CA264D0">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_Toc1671692556 </w:instrText>
      </w:r>
      <w:r>
        <w:rPr>
          <w:rFonts w:hint="default" w:ascii="Times New Roman" w:hAnsi="Times New Roman" w:cs="Times New Roman"/>
        </w:rPr>
        <w:fldChar w:fldCharType="separate"/>
      </w:r>
      <w:r>
        <w:rPr>
          <w:rFonts w:hint="default" w:ascii="Times New Roman" w:hAnsi="Times New Roman" w:cs="Times New Roman"/>
          <w:szCs w:val="32"/>
        </w:rPr>
        <w:t xml:space="preserve">4.3  </w:t>
      </w:r>
      <w:r>
        <w:rPr>
          <w:rFonts w:hint="default" w:ascii="Times New Roman" w:hAnsi="Times New Roman" w:cs="Times New Roman"/>
        </w:rPr>
        <w:t>合同备案、公示与归档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_Toc1671692556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0588E97A">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_Toc754222387 </w:instrText>
      </w:r>
      <w:r>
        <w:rPr>
          <w:rFonts w:hint="default" w:ascii="Times New Roman" w:hAnsi="Times New Roman" w:cs="Times New Roman"/>
        </w:rPr>
        <w:fldChar w:fldCharType="separate"/>
      </w:r>
      <w:r>
        <w:rPr>
          <w:rFonts w:hint="default" w:ascii="Times New Roman" w:hAnsi="Times New Roman" w:cs="Times New Roman"/>
          <w:szCs w:val="32"/>
        </w:rPr>
        <w:t xml:space="preserve">4.4  </w:t>
      </w:r>
      <w:r>
        <w:rPr>
          <w:rFonts w:hint="default" w:ascii="Times New Roman" w:hAnsi="Times New Roman" w:cs="Times New Roman"/>
        </w:rPr>
        <w:t>合同交底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_Toc754222387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4C630F7A">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_Toc1806125443 </w:instrText>
      </w:r>
      <w:r>
        <w:rPr>
          <w:rFonts w:hint="default" w:ascii="Times New Roman" w:hAnsi="Times New Roman" w:cs="Times New Roman"/>
        </w:rPr>
        <w:fldChar w:fldCharType="separate"/>
      </w:r>
      <w:r>
        <w:rPr>
          <w:rFonts w:hint="default" w:ascii="Times New Roman" w:hAnsi="Times New Roman" w:cs="Times New Roman"/>
          <w:szCs w:val="32"/>
        </w:rPr>
        <w:t xml:space="preserve">4.5  </w:t>
      </w:r>
      <w:r>
        <w:rPr>
          <w:rFonts w:hint="default" w:ascii="Times New Roman" w:hAnsi="Times New Roman" w:cs="Times New Roman"/>
        </w:rPr>
        <w:t>投标担保的退还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_Toc1806125443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rPr>
        <w:fldChar w:fldCharType="end"/>
      </w:r>
    </w:p>
    <w:p w14:paraId="69897CC9">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_Toc508528072 </w:instrText>
      </w:r>
      <w:r>
        <w:rPr>
          <w:rFonts w:hint="default" w:ascii="Times New Roman" w:hAnsi="Times New Roman" w:cs="Times New Roman"/>
        </w:rPr>
        <w:fldChar w:fldCharType="separate"/>
      </w:r>
      <w:r>
        <w:rPr>
          <w:rFonts w:hint="default" w:ascii="Times New Roman" w:hAnsi="Times New Roman" w:cs="Times New Roman"/>
          <w:szCs w:val="32"/>
        </w:rPr>
        <w:t xml:space="preserve">4.6  </w:t>
      </w:r>
      <w:r>
        <w:rPr>
          <w:rFonts w:hint="default" w:ascii="Times New Roman" w:hAnsi="Times New Roman" w:cs="Times New Roman"/>
        </w:rPr>
        <w:t>履约担保</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_Toc508528072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rPr>
        <w:fldChar w:fldCharType="end"/>
      </w:r>
    </w:p>
    <w:p w14:paraId="1CA38962">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_Toc520754709 </w:instrText>
      </w:r>
      <w:r>
        <w:rPr>
          <w:rFonts w:hint="default" w:ascii="Times New Roman" w:hAnsi="Times New Roman" w:cs="Times New Roman"/>
        </w:rPr>
        <w:fldChar w:fldCharType="separate"/>
      </w:r>
      <w:r>
        <w:rPr>
          <w:rFonts w:hint="default" w:ascii="Times New Roman" w:hAnsi="Times New Roman" w:cs="Times New Roman"/>
          <w:szCs w:val="32"/>
        </w:rPr>
        <w:t xml:space="preserve">4.7  </w:t>
      </w:r>
      <w:r>
        <w:rPr>
          <w:rFonts w:hint="default" w:ascii="Times New Roman" w:hAnsi="Times New Roman" w:cs="Times New Roman"/>
        </w:rPr>
        <w:t>保  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_Toc520754709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rPr>
        <w:fldChar w:fldCharType="end"/>
      </w:r>
    </w:p>
    <w:p w14:paraId="7B0301A7">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_Toc1631408650 </w:instrText>
      </w:r>
      <w:r>
        <w:rPr>
          <w:rFonts w:hint="default" w:ascii="Times New Roman" w:hAnsi="Times New Roman" w:cs="Times New Roman"/>
        </w:rPr>
        <w:fldChar w:fldCharType="separate"/>
      </w:r>
      <w:r>
        <w:rPr>
          <w:rFonts w:hint="default" w:ascii="Times New Roman" w:hAnsi="Times New Roman" w:cs="Times New Roman"/>
          <w:szCs w:val="32"/>
        </w:rPr>
        <w:t xml:space="preserve">4.8  </w:t>
      </w:r>
      <w:r>
        <w:rPr>
          <w:rFonts w:hint="default" w:ascii="Times New Roman" w:hAnsi="Times New Roman" w:cs="Times New Roman"/>
        </w:rPr>
        <w:t>前期准备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_Toc1631408650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rPr>
        <w:fldChar w:fldCharType="end"/>
      </w:r>
    </w:p>
    <w:p w14:paraId="60AFEC6E">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_Toc502211252 </w:instrText>
      </w:r>
      <w:r>
        <w:rPr>
          <w:rFonts w:hint="default" w:ascii="Times New Roman" w:hAnsi="Times New Roman" w:cs="Times New Roman"/>
        </w:rPr>
        <w:fldChar w:fldCharType="separate"/>
      </w:r>
      <w:r>
        <w:rPr>
          <w:rFonts w:hint="default" w:ascii="Times New Roman" w:hAnsi="Times New Roman" w:cs="Times New Roman"/>
          <w:szCs w:val="32"/>
        </w:rPr>
        <w:t xml:space="preserve">5 </w:t>
      </w:r>
      <w:r>
        <w:rPr>
          <w:rFonts w:hint="default" w:ascii="Times New Roman" w:hAnsi="Times New Roman" w:cs="Times New Roman"/>
        </w:rPr>
        <w:t xml:space="preserve"> 风险管理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_Toc502211252 \h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14:paraId="31FCD294">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_Toc1534108298 </w:instrText>
      </w:r>
      <w:r>
        <w:rPr>
          <w:rFonts w:hint="default" w:ascii="Times New Roman" w:hAnsi="Times New Roman" w:cs="Times New Roman"/>
        </w:rPr>
        <w:fldChar w:fldCharType="separate"/>
      </w:r>
      <w:r>
        <w:rPr>
          <w:rFonts w:hint="default" w:ascii="Times New Roman" w:hAnsi="Times New Roman" w:cs="Times New Roman"/>
          <w:szCs w:val="32"/>
        </w:rPr>
        <w:t xml:space="preserve">5.1  </w:t>
      </w:r>
      <w:r>
        <w:rPr>
          <w:rFonts w:hint="default" w:ascii="Times New Roman" w:hAnsi="Times New Roman" w:cs="Times New Roman"/>
        </w:rPr>
        <w:t>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_Toc1534108298 \h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14:paraId="3FAA57D1">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_Toc1914976640 </w:instrText>
      </w:r>
      <w:r>
        <w:rPr>
          <w:rFonts w:hint="default" w:ascii="Times New Roman" w:hAnsi="Times New Roman" w:cs="Times New Roman"/>
        </w:rPr>
        <w:fldChar w:fldCharType="separate"/>
      </w:r>
      <w:r>
        <w:rPr>
          <w:rFonts w:hint="default" w:ascii="Times New Roman" w:hAnsi="Times New Roman" w:cs="Times New Roman"/>
          <w:szCs w:val="32"/>
        </w:rPr>
        <w:t xml:space="preserve">5.2  </w:t>
      </w:r>
      <w:r>
        <w:rPr>
          <w:rFonts w:hint="default" w:ascii="Times New Roman" w:hAnsi="Times New Roman" w:cs="Times New Roman"/>
        </w:rPr>
        <w:t>风险识别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_Toc1914976640 \h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14:paraId="4E2570D7">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_Toc862755229 </w:instrText>
      </w:r>
      <w:r>
        <w:rPr>
          <w:rFonts w:hint="default" w:ascii="Times New Roman" w:hAnsi="Times New Roman" w:cs="Times New Roman"/>
        </w:rPr>
        <w:fldChar w:fldCharType="separate"/>
      </w:r>
      <w:r>
        <w:rPr>
          <w:rFonts w:hint="default" w:ascii="Times New Roman" w:hAnsi="Times New Roman" w:cs="Times New Roman"/>
          <w:szCs w:val="32"/>
        </w:rPr>
        <w:t xml:space="preserve">5.3  </w:t>
      </w:r>
      <w:r>
        <w:rPr>
          <w:rFonts w:hint="default" w:ascii="Times New Roman" w:hAnsi="Times New Roman" w:cs="Times New Roman"/>
        </w:rPr>
        <w:t>风险防范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_Toc862755229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rPr>
        <w:fldChar w:fldCharType="end"/>
      </w:r>
    </w:p>
    <w:p w14:paraId="40D9CB61">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_Toc1369383683 </w:instrText>
      </w:r>
      <w:r>
        <w:rPr>
          <w:rFonts w:hint="default" w:ascii="Times New Roman" w:hAnsi="Times New Roman" w:cs="Times New Roman"/>
        </w:rPr>
        <w:fldChar w:fldCharType="separate"/>
      </w:r>
      <w:r>
        <w:rPr>
          <w:rFonts w:hint="default" w:ascii="Times New Roman" w:hAnsi="Times New Roman" w:cs="Times New Roman"/>
          <w:szCs w:val="32"/>
        </w:rPr>
        <w:t xml:space="preserve">5.4  </w:t>
      </w:r>
      <w:r>
        <w:rPr>
          <w:rFonts w:hint="default" w:ascii="Times New Roman" w:hAnsi="Times New Roman" w:cs="Times New Roman"/>
        </w:rPr>
        <w:t>风险应对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_Toc1369383683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14:paraId="1F893397">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_Toc1183134208 </w:instrText>
      </w:r>
      <w:r>
        <w:rPr>
          <w:rFonts w:hint="default" w:ascii="Times New Roman" w:hAnsi="Times New Roman" w:cs="Times New Roman"/>
        </w:rPr>
        <w:fldChar w:fldCharType="separate"/>
      </w:r>
      <w:r>
        <w:rPr>
          <w:rFonts w:hint="default" w:ascii="Times New Roman" w:hAnsi="Times New Roman" w:cs="Times New Roman"/>
          <w:szCs w:val="32"/>
        </w:rPr>
        <w:t>6</w:t>
      </w:r>
      <w:r>
        <w:rPr>
          <w:rFonts w:hint="default" w:ascii="Times New Roman" w:hAnsi="Times New Roman" w:cs="Times New Roman"/>
        </w:rPr>
        <w:t xml:space="preserve">  资源管理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_Toc1183134208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14:paraId="32C4B330">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_Toc826157474 </w:instrText>
      </w:r>
      <w:r>
        <w:rPr>
          <w:rFonts w:hint="default" w:ascii="Times New Roman" w:hAnsi="Times New Roman" w:cs="Times New Roman"/>
        </w:rPr>
        <w:fldChar w:fldCharType="separate"/>
      </w:r>
      <w:r>
        <w:rPr>
          <w:rFonts w:hint="default" w:ascii="Times New Roman" w:hAnsi="Times New Roman" w:cs="Times New Roman"/>
          <w:szCs w:val="32"/>
        </w:rPr>
        <w:t xml:space="preserve">6.1  </w:t>
      </w:r>
      <w:r>
        <w:rPr>
          <w:rFonts w:hint="default" w:ascii="Times New Roman" w:hAnsi="Times New Roman" w:cs="Times New Roman"/>
        </w:rPr>
        <w:t>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_Toc826157474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14:paraId="32C4175C">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_Toc645091096 </w:instrText>
      </w:r>
      <w:r>
        <w:rPr>
          <w:rFonts w:hint="default" w:ascii="Times New Roman" w:hAnsi="Times New Roman" w:cs="Times New Roman"/>
        </w:rPr>
        <w:fldChar w:fldCharType="separate"/>
      </w:r>
      <w:r>
        <w:rPr>
          <w:rFonts w:hint="default" w:ascii="Times New Roman" w:hAnsi="Times New Roman" w:cs="Times New Roman"/>
          <w:szCs w:val="32"/>
        </w:rPr>
        <w:t xml:space="preserve">6.2  </w:t>
      </w:r>
      <w:r>
        <w:rPr>
          <w:rFonts w:hint="default" w:ascii="Times New Roman" w:hAnsi="Times New Roman" w:cs="Times New Roman"/>
        </w:rPr>
        <w:t>人力资源管理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_Toc645091096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14:paraId="6A90C753">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_Toc1783121955 </w:instrText>
      </w:r>
      <w:r>
        <w:rPr>
          <w:rFonts w:hint="default" w:ascii="Times New Roman" w:hAnsi="Times New Roman" w:cs="Times New Roman"/>
        </w:rPr>
        <w:fldChar w:fldCharType="separate"/>
      </w:r>
      <w:r>
        <w:rPr>
          <w:rFonts w:hint="default" w:ascii="Times New Roman" w:hAnsi="Times New Roman" w:cs="Times New Roman"/>
          <w:szCs w:val="32"/>
        </w:rPr>
        <w:t xml:space="preserve">6.3  </w:t>
      </w:r>
      <w:r>
        <w:rPr>
          <w:rFonts w:hint="default" w:ascii="Times New Roman" w:hAnsi="Times New Roman" w:cs="Times New Roman"/>
        </w:rPr>
        <w:t>技术资源管理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_Toc1783121955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14:paraId="5C4CB5D2">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_Toc1828091621 </w:instrText>
      </w:r>
      <w:r>
        <w:rPr>
          <w:rFonts w:hint="default" w:ascii="Times New Roman" w:hAnsi="Times New Roman" w:cs="Times New Roman"/>
        </w:rPr>
        <w:fldChar w:fldCharType="separate"/>
      </w:r>
      <w:r>
        <w:rPr>
          <w:rFonts w:hint="default" w:ascii="Times New Roman" w:hAnsi="Times New Roman" w:cs="Times New Roman"/>
          <w:szCs w:val="32"/>
        </w:rPr>
        <w:t xml:space="preserve">6.4  </w:t>
      </w:r>
      <w:r>
        <w:rPr>
          <w:rFonts w:hint="default" w:ascii="Times New Roman" w:hAnsi="Times New Roman" w:cs="Times New Roman"/>
        </w:rPr>
        <w:t>物资管理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_Toc1828091621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14:paraId="22504D9F">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_Toc1799379224 </w:instrText>
      </w:r>
      <w:r>
        <w:rPr>
          <w:rFonts w:hint="default" w:ascii="Times New Roman" w:hAnsi="Times New Roman" w:cs="Times New Roman"/>
        </w:rPr>
        <w:fldChar w:fldCharType="separate"/>
      </w:r>
      <w:r>
        <w:rPr>
          <w:rFonts w:hint="default" w:ascii="Times New Roman" w:hAnsi="Times New Roman" w:cs="Times New Roman"/>
          <w:szCs w:val="32"/>
        </w:rPr>
        <w:t xml:space="preserve">6.5  </w:t>
      </w:r>
      <w:r>
        <w:rPr>
          <w:rFonts w:hint="default" w:ascii="Times New Roman" w:hAnsi="Times New Roman" w:cs="Times New Roman"/>
        </w:rPr>
        <w:t>资源投入的检查与整改管理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_Toc1799379224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14:paraId="548E82C6">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_Toc214563154 </w:instrText>
      </w:r>
      <w:r>
        <w:rPr>
          <w:rFonts w:hint="default" w:ascii="Times New Roman" w:hAnsi="Times New Roman" w:cs="Times New Roman"/>
        </w:rPr>
        <w:fldChar w:fldCharType="separate"/>
      </w:r>
      <w:r>
        <w:rPr>
          <w:rFonts w:hint="default" w:ascii="Times New Roman" w:hAnsi="Times New Roman" w:cs="Times New Roman"/>
        </w:rPr>
        <w:t>6.6  施工项目劳务管理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_Toc214563154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cs="Times New Roman"/>
        </w:rPr>
        <w:fldChar w:fldCharType="end"/>
      </w:r>
    </w:p>
    <w:p w14:paraId="311AC69C">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_Toc1753876463 </w:instrText>
      </w:r>
      <w:r>
        <w:rPr>
          <w:rFonts w:hint="default" w:ascii="Times New Roman" w:hAnsi="Times New Roman" w:cs="Times New Roman"/>
        </w:rPr>
        <w:fldChar w:fldCharType="separate"/>
      </w:r>
      <w:r>
        <w:rPr>
          <w:rFonts w:hint="default" w:ascii="Times New Roman" w:hAnsi="Times New Roman" w:cs="Times New Roman"/>
        </w:rPr>
        <w:t>6.7  施工项目分包管理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_Toc1753876463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cs="Times New Roman"/>
        </w:rPr>
        <w:fldChar w:fldCharType="end"/>
      </w:r>
    </w:p>
    <w:p w14:paraId="65074639">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_Toc1570671241 </w:instrText>
      </w:r>
      <w:r>
        <w:rPr>
          <w:rFonts w:hint="default" w:ascii="Times New Roman" w:hAnsi="Times New Roman" w:cs="Times New Roman"/>
        </w:rPr>
        <w:fldChar w:fldCharType="separate"/>
      </w:r>
      <w:r>
        <w:rPr>
          <w:rFonts w:hint="default" w:ascii="Times New Roman" w:hAnsi="Times New Roman" w:cs="Times New Roman"/>
          <w:szCs w:val="32"/>
        </w:rPr>
        <w:t>7</w:t>
      </w:r>
      <w:r>
        <w:rPr>
          <w:rFonts w:hint="default" w:ascii="Times New Roman" w:hAnsi="Times New Roman" w:cs="Times New Roman"/>
        </w:rPr>
        <w:t xml:space="preserve">  进度管理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_Toc1570671241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cs="Times New Roman"/>
        </w:rPr>
        <w:fldChar w:fldCharType="end"/>
      </w:r>
    </w:p>
    <w:p w14:paraId="30E8926F">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_Toc61845850 </w:instrText>
      </w:r>
      <w:r>
        <w:rPr>
          <w:rFonts w:hint="default" w:ascii="Times New Roman" w:hAnsi="Times New Roman" w:cs="Times New Roman"/>
        </w:rPr>
        <w:fldChar w:fldCharType="separate"/>
      </w:r>
      <w:r>
        <w:rPr>
          <w:rFonts w:hint="default" w:ascii="Times New Roman" w:hAnsi="Times New Roman" w:cs="Times New Roman"/>
          <w:szCs w:val="32"/>
        </w:rPr>
        <w:t xml:space="preserve">7.1  </w:t>
      </w:r>
      <w:r>
        <w:rPr>
          <w:rFonts w:hint="default" w:ascii="Times New Roman" w:hAnsi="Times New Roman" w:cs="Times New Roman"/>
        </w:rPr>
        <w:t>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_Toc61845850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cs="Times New Roman"/>
        </w:rPr>
        <w:fldChar w:fldCharType="end"/>
      </w:r>
    </w:p>
    <w:p w14:paraId="573BA6A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_Toc1012998573 </w:instrText>
      </w:r>
      <w:r>
        <w:rPr>
          <w:rFonts w:hint="default" w:ascii="Times New Roman" w:hAnsi="Times New Roman" w:cs="Times New Roman"/>
        </w:rPr>
        <w:fldChar w:fldCharType="separate"/>
      </w:r>
      <w:r>
        <w:rPr>
          <w:rFonts w:hint="default" w:ascii="Times New Roman" w:hAnsi="Times New Roman" w:cs="Times New Roman"/>
          <w:szCs w:val="32"/>
        </w:rPr>
        <w:t xml:space="preserve">7.2  </w:t>
      </w:r>
      <w:r>
        <w:rPr>
          <w:rFonts w:hint="default" w:ascii="Times New Roman" w:hAnsi="Times New Roman" w:cs="Times New Roman"/>
        </w:rPr>
        <w:t>进度计划的编制与确认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_Toc1012998573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cs="Times New Roman"/>
        </w:rPr>
        <w:fldChar w:fldCharType="end"/>
      </w:r>
    </w:p>
    <w:p w14:paraId="5F601AE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_Toc1489647666 </w:instrText>
      </w:r>
      <w:r>
        <w:rPr>
          <w:rFonts w:hint="default" w:ascii="Times New Roman" w:hAnsi="Times New Roman" w:cs="Times New Roman"/>
        </w:rPr>
        <w:fldChar w:fldCharType="separate"/>
      </w:r>
      <w:r>
        <w:rPr>
          <w:rFonts w:hint="default" w:ascii="Times New Roman" w:hAnsi="Times New Roman" w:cs="Times New Roman"/>
          <w:szCs w:val="32"/>
        </w:rPr>
        <w:t xml:space="preserve">7.3  </w:t>
      </w:r>
      <w:r>
        <w:rPr>
          <w:rFonts w:hint="default" w:ascii="Times New Roman" w:hAnsi="Times New Roman" w:cs="Times New Roman"/>
        </w:rPr>
        <w:t>进度监测与检查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_Toc1489647666 \h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cs="Times New Roman"/>
        </w:rPr>
        <w:fldChar w:fldCharType="end"/>
      </w:r>
    </w:p>
    <w:p w14:paraId="26194384">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_Toc1257228669 </w:instrText>
      </w:r>
      <w:r>
        <w:rPr>
          <w:rFonts w:hint="default" w:ascii="Times New Roman" w:hAnsi="Times New Roman" w:cs="Times New Roman"/>
        </w:rPr>
        <w:fldChar w:fldCharType="separate"/>
      </w:r>
      <w:r>
        <w:rPr>
          <w:rFonts w:hint="default" w:ascii="Times New Roman" w:hAnsi="Times New Roman" w:cs="Times New Roman"/>
          <w:szCs w:val="32"/>
        </w:rPr>
        <w:t xml:space="preserve">7.4  </w:t>
      </w:r>
      <w:r>
        <w:rPr>
          <w:rFonts w:hint="default" w:ascii="Times New Roman" w:hAnsi="Times New Roman" w:cs="Times New Roman"/>
        </w:rPr>
        <w:t>进度偏差的识别与处置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_Toc1257228669 \h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cs="Times New Roman"/>
        </w:rPr>
        <w:fldChar w:fldCharType="end"/>
      </w:r>
    </w:p>
    <w:p w14:paraId="54821A5E">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_Toc485952635 </w:instrText>
      </w:r>
      <w:r>
        <w:rPr>
          <w:rFonts w:hint="default" w:ascii="Times New Roman" w:hAnsi="Times New Roman" w:cs="Times New Roman"/>
        </w:rPr>
        <w:fldChar w:fldCharType="separate"/>
      </w:r>
      <w:r>
        <w:rPr>
          <w:rFonts w:hint="default" w:ascii="Times New Roman" w:hAnsi="Times New Roman" w:cs="Times New Roman"/>
          <w:szCs w:val="32"/>
        </w:rPr>
        <w:t xml:space="preserve">7.5  </w:t>
      </w:r>
      <w:r>
        <w:rPr>
          <w:rFonts w:hint="default" w:ascii="Times New Roman" w:hAnsi="Times New Roman" w:cs="Times New Roman"/>
        </w:rPr>
        <w:t>进度计划调整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_Toc485952635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cs="Times New Roman"/>
        </w:rPr>
        <w:fldChar w:fldCharType="end"/>
      </w:r>
    </w:p>
    <w:p w14:paraId="60F7D3B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_Toc1399874884 </w:instrText>
      </w:r>
      <w:r>
        <w:rPr>
          <w:rFonts w:hint="default" w:ascii="Times New Roman" w:hAnsi="Times New Roman" w:cs="Times New Roman"/>
        </w:rPr>
        <w:fldChar w:fldCharType="separate"/>
      </w:r>
      <w:r>
        <w:rPr>
          <w:rFonts w:hint="default" w:ascii="Times New Roman" w:hAnsi="Times New Roman" w:cs="Times New Roman"/>
          <w:szCs w:val="32"/>
        </w:rPr>
        <w:t xml:space="preserve">7.6  </w:t>
      </w:r>
      <w:r>
        <w:rPr>
          <w:rFonts w:hint="default" w:ascii="Times New Roman" w:hAnsi="Times New Roman" w:cs="Times New Roman"/>
        </w:rPr>
        <w:t>记录与归档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_Toc1399874884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cs="Times New Roman"/>
        </w:rPr>
        <w:fldChar w:fldCharType="end"/>
      </w:r>
    </w:p>
    <w:p w14:paraId="53C43D79">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_Toc1878727291 </w:instrText>
      </w:r>
      <w:r>
        <w:rPr>
          <w:rFonts w:hint="default" w:ascii="Times New Roman" w:hAnsi="Times New Roman" w:cs="Times New Roman"/>
        </w:rPr>
        <w:fldChar w:fldCharType="separate"/>
      </w:r>
      <w:r>
        <w:rPr>
          <w:rFonts w:hint="default" w:ascii="Times New Roman" w:hAnsi="Times New Roman" w:cs="Times New Roman"/>
          <w:szCs w:val="32"/>
        </w:rPr>
        <w:t>8</w:t>
      </w:r>
      <w:r>
        <w:rPr>
          <w:rFonts w:hint="default" w:ascii="Times New Roman" w:hAnsi="Times New Roman" w:cs="Times New Roman"/>
        </w:rPr>
        <w:t xml:space="preserve">  质量管理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_Toc1878727291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14:paraId="5A153A38">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_Toc1553614786 </w:instrText>
      </w:r>
      <w:r>
        <w:rPr>
          <w:rFonts w:hint="default" w:ascii="Times New Roman" w:hAnsi="Times New Roman" w:cs="Times New Roman"/>
        </w:rPr>
        <w:fldChar w:fldCharType="separate"/>
      </w:r>
      <w:r>
        <w:rPr>
          <w:rFonts w:hint="default" w:ascii="Times New Roman" w:hAnsi="Times New Roman" w:cs="Times New Roman"/>
          <w:szCs w:val="32"/>
        </w:rPr>
        <w:t xml:space="preserve">8.1  </w:t>
      </w:r>
      <w:r>
        <w:rPr>
          <w:rFonts w:hint="default" w:ascii="Times New Roman" w:hAnsi="Times New Roman" w:cs="Times New Roman"/>
        </w:rPr>
        <w:t>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_Toc1553614786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14:paraId="3B1ACBDA">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_Toc961249517 </w:instrText>
      </w:r>
      <w:r>
        <w:rPr>
          <w:rFonts w:hint="default" w:ascii="Times New Roman" w:hAnsi="Times New Roman" w:cs="Times New Roman"/>
        </w:rPr>
        <w:fldChar w:fldCharType="separate"/>
      </w:r>
      <w:r>
        <w:rPr>
          <w:rFonts w:hint="default" w:ascii="Times New Roman" w:hAnsi="Times New Roman" w:cs="Times New Roman"/>
          <w:szCs w:val="32"/>
        </w:rPr>
        <w:t xml:space="preserve">8.2  </w:t>
      </w:r>
      <w:r>
        <w:rPr>
          <w:rFonts w:hint="default" w:ascii="Times New Roman" w:hAnsi="Times New Roman" w:cs="Times New Roman"/>
        </w:rPr>
        <w:t>质量管理体系的建立与审核</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_Toc961249517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14:paraId="4869A84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_Toc800138186 </w:instrText>
      </w:r>
      <w:r>
        <w:rPr>
          <w:rFonts w:hint="default" w:ascii="Times New Roman" w:hAnsi="Times New Roman" w:cs="Times New Roman"/>
        </w:rPr>
        <w:fldChar w:fldCharType="separate"/>
      </w:r>
      <w:r>
        <w:rPr>
          <w:rFonts w:hint="default" w:ascii="Times New Roman" w:hAnsi="Times New Roman" w:cs="Times New Roman"/>
          <w:szCs w:val="32"/>
        </w:rPr>
        <w:t xml:space="preserve">8.3  </w:t>
      </w:r>
      <w:r>
        <w:rPr>
          <w:rFonts w:hint="default" w:ascii="Times New Roman" w:hAnsi="Times New Roman" w:cs="Times New Roman"/>
        </w:rPr>
        <w:t>质量目标与标准确定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_Toc800138186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14:paraId="1A884D54">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_Toc1496219548 </w:instrText>
      </w:r>
      <w:r>
        <w:rPr>
          <w:rFonts w:hint="default" w:ascii="Times New Roman" w:hAnsi="Times New Roman" w:cs="Times New Roman"/>
        </w:rPr>
        <w:fldChar w:fldCharType="separate"/>
      </w:r>
      <w:r>
        <w:rPr>
          <w:rFonts w:hint="default" w:ascii="Times New Roman" w:hAnsi="Times New Roman" w:cs="Times New Roman"/>
          <w:szCs w:val="32"/>
        </w:rPr>
        <w:t xml:space="preserve">8.4  </w:t>
      </w:r>
      <w:r>
        <w:rPr>
          <w:rFonts w:hint="default" w:ascii="Times New Roman" w:hAnsi="Times New Roman" w:cs="Times New Roman"/>
        </w:rPr>
        <w:t>过程质量检查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_Toc1496219548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14:paraId="3A43549F">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_Toc485458425 </w:instrText>
      </w:r>
      <w:r>
        <w:rPr>
          <w:rFonts w:hint="default" w:ascii="Times New Roman" w:hAnsi="Times New Roman" w:cs="Times New Roman"/>
        </w:rPr>
        <w:fldChar w:fldCharType="separate"/>
      </w:r>
      <w:r>
        <w:rPr>
          <w:rFonts w:hint="default" w:ascii="Times New Roman" w:hAnsi="Times New Roman" w:cs="Times New Roman"/>
          <w:szCs w:val="32"/>
        </w:rPr>
        <w:t xml:space="preserve">8.5  </w:t>
      </w:r>
      <w:r>
        <w:rPr>
          <w:rFonts w:hint="default" w:ascii="Times New Roman" w:hAnsi="Times New Roman" w:cs="Times New Roman"/>
        </w:rPr>
        <w:t>质量问题与偏差处置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_Toc485458425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14:paraId="56794DED">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_Toc1554360573 </w:instrText>
      </w:r>
      <w:r>
        <w:rPr>
          <w:rFonts w:hint="default" w:ascii="Times New Roman" w:hAnsi="Times New Roman" w:cs="Times New Roman"/>
        </w:rPr>
        <w:fldChar w:fldCharType="separate"/>
      </w:r>
      <w:r>
        <w:rPr>
          <w:rFonts w:hint="default" w:ascii="Times New Roman" w:hAnsi="Times New Roman" w:cs="Times New Roman"/>
          <w:szCs w:val="32"/>
        </w:rPr>
        <w:t xml:space="preserve">8.6  </w:t>
      </w:r>
      <w:r>
        <w:rPr>
          <w:rFonts w:hint="default" w:ascii="Times New Roman" w:hAnsi="Times New Roman" w:cs="Times New Roman"/>
        </w:rPr>
        <w:t>质量问题归责与处置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_Toc1554360573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14:paraId="2F9CE881">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_Toc1154861343 </w:instrText>
      </w:r>
      <w:r>
        <w:rPr>
          <w:rFonts w:hint="default" w:ascii="Times New Roman" w:hAnsi="Times New Roman" w:cs="Times New Roman"/>
        </w:rPr>
        <w:fldChar w:fldCharType="separate"/>
      </w:r>
      <w:r>
        <w:rPr>
          <w:rFonts w:hint="default" w:ascii="Times New Roman" w:hAnsi="Times New Roman" w:cs="Times New Roman"/>
          <w:szCs w:val="32"/>
        </w:rPr>
        <w:t xml:space="preserve">8.7  </w:t>
      </w:r>
      <w:r>
        <w:rPr>
          <w:rFonts w:hint="default" w:ascii="Times New Roman" w:hAnsi="Times New Roman" w:cs="Times New Roman"/>
        </w:rPr>
        <w:t>成果交付前的质量检查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_Toc1154861343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14:paraId="11C21C9A">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_Toc993986497 </w:instrText>
      </w:r>
      <w:r>
        <w:rPr>
          <w:rFonts w:hint="default" w:ascii="Times New Roman" w:hAnsi="Times New Roman" w:cs="Times New Roman"/>
        </w:rPr>
        <w:fldChar w:fldCharType="separate"/>
      </w:r>
      <w:r>
        <w:rPr>
          <w:rFonts w:hint="default" w:ascii="Times New Roman" w:hAnsi="Times New Roman" w:cs="Times New Roman"/>
        </w:rPr>
        <w:t>9  安全与环境管理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_Toc993986497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14:paraId="4979BD26">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_Toc2075115282 </w:instrText>
      </w:r>
      <w:r>
        <w:rPr>
          <w:rFonts w:hint="default" w:ascii="Times New Roman" w:hAnsi="Times New Roman" w:cs="Times New Roman"/>
        </w:rPr>
        <w:fldChar w:fldCharType="separate"/>
      </w:r>
      <w:r>
        <w:rPr>
          <w:rFonts w:hint="default" w:ascii="Times New Roman" w:hAnsi="Times New Roman" w:cs="Times New Roman"/>
          <w:szCs w:val="32"/>
        </w:rPr>
        <w:t xml:space="preserve">9.1  </w:t>
      </w:r>
      <w:r>
        <w:rPr>
          <w:rFonts w:hint="default" w:ascii="Times New Roman" w:hAnsi="Times New Roman" w:cs="Times New Roman"/>
        </w:rPr>
        <w:t>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_Toc2075115282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14:paraId="21614F42">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_Toc638786345 </w:instrText>
      </w:r>
      <w:r>
        <w:rPr>
          <w:rFonts w:hint="default" w:ascii="Times New Roman" w:hAnsi="Times New Roman" w:cs="Times New Roman"/>
        </w:rPr>
        <w:fldChar w:fldCharType="separate"/>
      </w:r>
      <w:r>
        <w:rPr>
          <w:rFonts w:hint="default" w:ascii="Times New Roman" w:hAnsi="Times New Roman" w:cs="Times New Roman"/>
          <w:szCs w:val="32"/>
        </w:rPr>
        <w:t xml:space="preserve">9.2  </w:t>
      </w:r>
      <w:r>
        <w:rPr>
          <w:rFonts w:hint="default" w:ascii="Times New Roman" w:hAnsi="Times New Roman" w:cs="Times New Roman"/>
        </w:rPr>
        <w:t>安全责任体系建立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_Toc638786345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14:paraId="18F20730">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_Toc1496197749 </w:instrText>
      </w:r>
      <w:r>
        <w:rPr>
          <w:rFonts w:hint="default" w:ascii="Times New Roman" w:hAnsi="Times New Roman" w:cs="Times New Roman"/>
        </w:rPr>
        <w:fldChar w:fldCharType="separate"/>
      </w:r>
      <w:r>
        <w:rPr>
          <w:rFonts w:hint="default" w:ascii="Times New Roman" w:hAnsi="Times New Roman" w:cs="Times New Roman"/>
          <w:szCs w:val="32"/>
        </w:rPr>
        <w:t xml:space="preserve">9.3  </w:t>
      </w:r>
      <w:r>
        <w:rPr>
          <w:rFonts w:hint="default" w:ascii="Times New Roman" w:hAnsi="Times New Roman" w:cs="Times New Roman"/>
        </w:rPr>
        <w:t>安全检查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_Toc1496197749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14:paraId="009AAD6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_Toc1461739932 </w:instrText>
      </w:r>
      <w:r>
        <w:rPr>
          <w:rFonts w:hint="default" w:ascii="Times New Roman" w:hAnsi="Times New Roman" w:cs="Times New Roman"/>
        </w:rPr>
        <w:fldChar w:fldCharType="separate"/>
      </w:r>
      <w:r>
        <w:rPr>
          <w:rFonts w:hint="default" w:ascii="Times New Roman" w:hAnsi="Times New Roman" w:cs="Times New Roman"/>
          <w:szCs w:val="32"/>
        </w:rPr>
        <w:t xml:space="preserve">9.4  </w:t>
      </w:r>
      <w:r>
        <w:rPr>
          <w:rFonts w:hint="default" w:ascii="Times New Roman" w:hAnsi="Times New Roman" w:cs="Times New Roman"/>
        </w:rPr>
        <w:t>安全隐患识别与整改闭环</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_Toc1461739932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14:paraId="638D88CC">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_Toc406279337 </w:instrText>
      </w:r>
      <w:r>
        <w:rPr>
          <w:rFonts w:hint="default" w:ascii="Times New Roman" w:hAnsi="Times New Roman" w:cs="Times New Roman"/>
        </w:rPr>
        <w:fldChar w:fldCharType="separate"/>
      </w:r>
      <w:r>
        <w:rPr>
          <w:rFonts w:hint="default" w:ascii="Times New Roman" w:hAnsi="Times New Roman" w:cs="Times New Roman"/>
          <w:szCs w:val="32"/>
        </w:rPr>
        <w:t xml:space="preserve">9.5  </w:t>
      </w:r>
      <w:r>
        <w:rPr>
          <w:rFonts w:hint="default" w:ascii="Times New Roman" w:hAnsi="Times New Roman" w:cs="Times New Roman"/>
        </w:rPr>
        <w:t>应急管理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_Toc406279337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rPr>
        <w:fldChar w:fldCharType="end"/>
      </w:r>
    </w:p>
    <w:p w14:paraId="40FF3107">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_Toc211469330 </w:instrText>
      </w:r>
      <w:r>
        <w:rPr>
          <w:rFonts w:hint="default" w:ascii="Times New Roman" w:hAnsi="Times New Roman" w:cs="Times New Roman"/>
        </w:rPr>
        <w:fldChar w:fldCharType="separate"/>
      </w:r>
      <w:r>
        <w:rPr>
          <w:rFonts w:hint="default" w:ascii="Times New Roman" w:hAnsi="Times New Roman" w:cs="Times New Roman"/>
          <w:szCs w:val="32"/>
        </w:rPr>
        <w:t xml:space="preserve">9.6  </w:t>
      </w:r>
      <w:r>
        <w:rPr>
          <w:rFonts w:hint="default" w:ascii="Times New Roman" w:hAnsi="Times New Roman" w:cs="Times New Roman"/>
        </w:rPr>
        <w:t>环境管理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_Toc211469330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rPr>
        <w:fldChar w:fldCharType="end"/>
      </w:r>
    </w:p>
    <w:p w14:paraId="2EA78835">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_Toc683639967 </w:instrText>
      </w:r>
      <w:r>
        <w:rPr>
          <w:rFonts w:hint="default" w:ascii="Times New Roman" w:hAnsi="Times New Roman" w:cs="Times New Roman"/>
        </w:rPr>
        <w:fldChar w:fldCharType="separate"/>
      </w:r>
      <w:r>
        <w:rPr>
          <w:rFonts w:hint="default" w:ascii="Times New Roman" w:hAnsi="Times New Roman" w:cs="Times New Roman"/>
        </w:rPr>
        <w:t>10  费用与支付管理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_Toc683639967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14:paraId="73F1D842">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_Toc1589413545 </w:instrText>
      </w:r>
      <w:r>
        <w:rPr>
          <w:rFonts w:hint="default" w:ascii="Times New Roman" w:hAnsi="Times New Roman" w:cs="Times New Roman"/>
        </w:rPr>
        <w:fldChar w:fldCharType="separate"/>
      </w:r>
      <w:r>
        <w:rPr>
          <w:rFonts w:hint="default" w:ascii="Times New Roman" w:hAnsi="Times New Roman" w:cs="Times New Roman"/>
        </w:rPr>
        <w:t>10.1  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_Toc1589413545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14:paraId="7624251B">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_Toc1037626804 </w:instrText>
      </w:r>
      <w:r>
        <w:rPr>
          <w:rFonts w:hint="default" w:ascii="Times New Roman" w:hAnsi="Times New Roman" w:cs="Times New Roman"/>
        </w:rPr>
        <w:fldChar w:fldCharType="separate"/>
      </w:r>
      <w:r>
        <w:rPr>
          <w:rFonts w:hint="default" w:ascii="Times New Roman" w:hAnsi="Times New Roman" w:cs="Times New Roman"/>
        </w:rPr>
        <w:t>10.2  支付计划与申请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_Toc1037626804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14:paraId="6E66AAAA">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_Toc1328731063 </w:instrText>
      </w:r>
      <w:r>
        <w:rPr>
          <w:rFonts w:hint="default" w:ascii="Times New Roman" w:hAnsi="Times New Roman" w:cs="Times New Roman"/>
        </w:rPr>
        <w:fldChar w:fldCharType="separate"/>
      </w:r>
      <w:r>
        <w:rPr>
          <w:rFonts w:hint="default" w:ascii="Times New Roman" w:hAnsi="Times New Roman" w:cs="Times New Roman"/>
        </w:rPr>
        <w:t>10.3  支付审核</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_Toc1328731063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14:paraId="3219AE7B">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_Toc1225051853 </w:instrText>
      </w:r>
      <w:r>
        <w:rPr>
          <w:rFonts w:hint="default" w:ascii="Times New Roman" w:hAnsi="Times New Roman" w:cs="Times New Roman"/>
        </w:rPr>
        <w:fldChar w:fldCharType="separate"/>
      </w:r>
      <w:r>
        <w:rPr>
          <w:rFonts w:hint="default" w:ascii="Times New Roman" w:hAnsi="Times New Roman" w:cs="Times New Roman"/>
        </w:rPr>
        <w:t>10.4  合同变更管理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_Toc1225051853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cs="Times New Roman"/>
        </w:rPr>
        <w:fldChar w:fldCharType="end"/>
      </w:r>
    </w:p>
    <w:p w14:paraId="58CAA2C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_Toc718234777 </w:instrText>
      </w:r>
      <w:r>
        <w:rPr>
          <w:rFonts w:hint="default" w:ascii="Times New Roman" w:hAnsi="Times New Roman" w:cs="Times New Roman"/>
        </w:rPr>
        <w:fldChar w:fldCharType="separate"/>
      </w:r>
      <w:r>
        <w:rPr>
          <w:rFonts w:hint="default" w:ascii="Times New Roman" w:hAnsi="Times New Roman" w:cs="Times New Roman"/>
        </w:rPr>
        <w:t>10.5  预付款管理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_Toc718234777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cs="Times New Roman"/>
        </w:rPr>
        <w:fldChar w:fldCharType="end"/>
      </w:r>
    </w:p>
    <w:p w14:paraId="70FF1F60">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_Toc980626639 </w:instrText>
      </w:r>
      <w:r>
        <w:rPr>
          <w:rFonts w:hint="default" w:ascii="Times New Roman" w:hAnsi="Times New Roman" w:cs="Times New Roman"/>
        </w:rPr>
        <w:fldChar w:fldCharType="separate"/>
      </w:r>
      <w:r>
        <w:rPr>
          <w:rFonts w:hint="default" w:ascii="Times New Roman" w:hAnsi="Times New Roman" w:cs="Times New Roman"/>
        </w:rPr>
        <w:t>10.6  费用索赔管理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_Toc980626639 \h </w:instrText>
      </w:r>
      <w:r>
        <w:rPr>
          <w:rFonts w:hint="default" w:ascii="Times New Roman" w:hAnsi="Times New Roman" w:cs="Times New Roman"/>
        </w:rPr>
        <w:fldChar w:fldCharType="separate"/>
      </w:r>
      <w:r>
        <w:rPr>
          <w:rFonts w:hint="default" w:ascii="Times New Roman" w:hAnsi="Times New Roman" w:cs="Times New Roman"/>
        </w:rPr>
        <w:t>36</w:t>
      </w:r>
      <w:r>
        <w:rPr>
          <w:rFonts w:hint="default" w:ascii="Times New Roman" w:hAnsi="Times New Roman" w:cs="Times New Roman"/>
        </w:rPr>
        <w:fldChar w:fldCharType="end"/>
      </w:r>
      <w:r>
        <w:rPr>
          <w:rFonts w:hint="default" w:ascii="Times New Roman" w:hAnsi="Times New Roman" w:cs="Times New Roman"/>
        </w:rPr>
        <w:fldChar w:fldCharType="end"/>
      </w:r>
    </w:p>
    <w:p w14:paraId="763F7189">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_Toc1439615007 </w:instrText>
      </w:r>
      <w:r>
        <w:rPr>
          <w:rFonts w:hint="default" w:ascii="Times New Roman" w:hAnsi="Times New Roman" w:cs="Times New Roman"/>
        </w:rPr>
        <w:fldChar w:fldCharType="separate"/>
      </w:r>
      <w:r>
        <w:rPr>
          <w:rFonts w:hint="default" w:ascii="Times New Roman" w:hAnsi="Times New Roman" w:cs="Times New Roman"/>
        </w:rPr>
        <w:t>10.7  结算管理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_Toc1439615007 \h </w:instrText>
      </w:r>
      <w:r>
        <w:rPr>
          <w:rFonts w:hint="default" w:ascii="Times New Roman" w:hAnsi="Times New Roman" w:cs="Times New Roman"/>
        </w:rPr>
        <w:fldChar w:fldCharType="separate"/>
      </w:r>
      <w:r>
        <w:rPr>
          <w:rFonts w:hint="default" w:ascii="Times New Roman" w:hAnsi="Times New Roman" w:cs="Times New Roman"/>
        </w:rPr>
        <w:t>36</w:t>
      </w:r>
      <w:r>
        <w:rPr>
          <w:rFonts w:hint="default" w:ascii="Times New Roman" w:hAnsi="Times New Roman" w:cs="Times New Roman"/>
        </w:rPr>
        <w:fldChar w:fldCharType="end"/>
      </w:r>
      <w:r>
        <w:rPr>
          <w:rFonts w:hint="default" w:ascii="Times New Roman" w:hAnsi="Times New Roman" w:cs="Times New Roman"/>
        </w:rPr>
        <w:fldChar w:fldCharType="end"/>
      </w:r>
    </w:p>
    <w:p w14:paraId="1297D80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_Toc324627592 </w:instrText>
      </w:r>
      <w:r>
        <w:rPr>
          <w:rFonts w:hint="default" w:ascii="Times New Roman" w:hAnsi="Times New Roman" w:cs="Times New Roman"/>
        </w:rPr>
        <w:fldChar w:fldCharType="separate"/>
      </w:r>
      <w:r>
        <w:rPr>
          <w:rFonts w:hint="default" w:ascii="Times New Roman" w:hAnsi="Times New Roman" w:cs="Times New Roman"/>
        </w:rPr>
        <w:t>10.8  违约金与保证金管理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_Toc324627592 \h </w:instrText>
      </w:r>
      <w:r>
        <w:rPr>
          <w:rFonts w:hint="default" w:ascii="Times New Roman" w:hAnsi="Times New Roman" w:cs="Times New Roman"/>
        </w:rPr>
        <w:fldChar w:fldCharType="separate"/>
      </w:r>
      <w:r>
        <w:rPr>
          <w:rFonts w:hint="default" w:ascii="Times New Roman" w:hAnsi="Times New Roman" w:cs="Times New Roman"/>
        </w:rPr>
        <w:t>36</w:t>
      </w:r>
      <w:r>
        <w:rPr>
          <w:rFonts w:hint="default" w:ascii="Times New Roman" w:hAnsi="Times New Roman" w:cs="Times New Roman"/>
        </w:rPr>
        <w:fldChar w:fldCharType="end"/>
      </w:r>
      <w:r>
        <w:rPr>
          <w:rFonts w:hint="default" w:ascii="Times New Roman" w:hAnsi="Times New Roman" w:cs="Times New Roman"/>
        </w:rPr>
        <w:fldChar w:fldCharType="end"/>
      </w:r>
    </w:p>
    <w:p w14:paraId="6AB1FDA1">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_Toc403814233 </w:instrText>
      </w:r>
      <w:r>
        <w:rPr>
          <w:rFonts w:hint="default" w:ascii="Times New Roman" w:hAnsi="Times New Roman" w:cs="Times New Roman"/>
        </w:rPr>
        <w:fldChar w:fldCharType="separate"/>
      </w:r>
      <w:r>
        <w:rPr>
          <w:rFonts w:hint="default" w:ascii="Times New Roman" w:hAnsi="Times New Roman" w:cs="Times New Roman"/>
        </w:rPr>
        <w:t>11  履约验收管理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_Toc403814233 \h </w:instrText>
      </w:r>
      <w:r>
        <w:rPr>
          <w:rFonts w:hint="default" w:ascii="Times New Roman" w:hAnsi="Times New Roman" w:cs="Times New Roman"/>
        </w:rPr>
        <w:fldChar w:fldCharType="separate"/>
      </w:r>
      <w:r>
        <w:rPr>
          <w:rFonts w:hint="default" w:ascii="Times New Roman" w:hAnsi="Times New Roman" w:cs="Times New Roman"/>
        </w:rPr>
        <w:t>38</w:t>
      </w:r>
      <w:r>
        <w:rPr>
          <w:rFonts w:hint="default" w:ascii="Times New Roman" w:hAnsi="Times New Roman" w:cs="Times New Roman"/>
        </w:rPr>
        <w:fldChar w:fldCharType="end"/>
      </w:r>
      <w:r>
        <w:rPr>
          <w:rFonts w:hint="default" w:ascii="Times New Roman" w:hAnsi="Times New Roman" w:cs="Times New Roman"/>
        </w:rPr>
        <w:fldChar w:fldCharType="end"/>
      </w:r>
    </w:p>
    <w:p w14:paraId="4A703D49">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_Toc1501460857 </w:instrText>
      </w:r>
      <w:r>
        <w:rPr>
          <w:rFonts w:hint="default" w:ascii="Times New Roman" w:hAnsi="Times New Roman" w:cs="Times New Roman"/>
        </w:rPr>
        <w:fldChar w:fldCharType="separate"/>
      </w:r>
      <w:r>
        <w:rPr>
          <w:rFonts w:hint="default" w:ascii="Times New Roman" w:hAnsi="Times New Roman" w:cs="Times New Roman"/>
        </w:rPr>
        <w:t>11.1  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_Toc1501460857 \h </w:instrText>
      </w:r>
      <w:r>
        <w:rPr>
          <w:rFonts w:hint="default" w:ascii="Times New Roman" w:hAnsi="Times New Roman" w:cs="Times New Roman"/>
        </w:rPr>
        <w:fldChar w:fldCharType="separate"/>
      </w:r>
      <w:r>
        <w:rPr>
          <w:rFonts w:hint="default" w:ascii="Times New Roman" w:hAnsi="Times New Roman" w:cs="Times New Roman"/>
        </w:rPr>
        <w:t>38</w:t>
      </w:r>
      <w:r>
        <w:rPr>
          <w:rFonts w:hint="default" w:ascii="Times New Roman" w:hAnsi="Times New Roman" w:cs="Times New Roman"/>
        </w:rPr>
        <w:fldChar w:fldCharType="end"/>
      </w:r>
      <w:r>
        <w:rPr>
          <w:rFonts w:hint="default" w:ascii="Times New Roman" w:hAnsi="Times New Roman" w:cs="Times New Roman"/>
        </w:rPr>
        <w:fldChar w:fldCharType="end"/>
      </w:r>
    </w:p>
    <w:p w14:paraId="56B04F83">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_Toc1337626166 </w:instrText>
      </w:r>
      <w:r>
        <w:rPr>
          <w:rFonts w:hint="default" w:ascii="Times New Roman" w:hAnsi="Times New Roman" w:cs="Times New Roman"/>
        </w:rPr>
        <w:fldChar w:fldCharType="separate"/>
      </w:r>
      <w:r>
        <w:rPr>
          <w:rFonts w:hint="default" w:ascii="Times New Roman" w:hAnsi="Times New Roman" w:cs="Times New Roman"/>
        </w:rPr>
        <w:t>11.2  验收依据与标准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_Toc1337626166 \h </w:instrText>
      </w:r>
      <w:r>
        <w:rPr>
          <w:rFonts w:hint="default" w:ascii="Times New Roman" w:hAnsi="Times New Roman" w:cs="Times New Roman"/>
        </w:rPr>
        <w:fldChar w:fldCharType="separate"/>
      </w:r>
      <w:r>
        <w:rPr>
          <w:rFonts w:hint="default" w:ascii="Times New Roman" w:hAnsi="Times New Roman" w:cs="Times New Roman"/>
        </w:rPr>
        <w:t>38</w:t>
      </w:r>
      <w:r>
        <w:rPr>
          <w:rFonts w:hint="default" w:ascii="Times New Roman" w:hAnsi="Times New Roman" w:cs="Times New Roman"/>
        </w:rPr>
        <w:fldChar w:fldCharType="end"/>
      </w:r>
      <w:r>
        <w:rPr>
          <w:rFonts w:hint="default" w:ascii="Times New Roman" w:hAnsi="Times New Roman" w:cs="Times New Roman"/>
        </w:rPr>
        <w:fldChar w:fldCharType="end"/>
      </w:r>
    </w:p>
    <w:p w14:paraId="00AA2E57">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_Toc1893461899 </w:instrText>
      </w:r>
      <w:r>
        <w:rPr>
          <w:rFonts w:hint="default" w:ascii="Times New Roman" w:hAnsi="Times New Roman" w:cs="Times New Roman"/>
        </w:rPr>
        <w:fldChar w:fldCharType="separate"/>
      </w:r>
      <w:r>
        <w:rPr>
          <w:rFonts w:hint="default" w:ascii="Times New Roman" w:hAnsi="Times New Roman" w:cs="Times New Roman"/>
        </w:rPr>
        <w:t>11.3  验收方式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_Toc1893461899 \h </w:instrText>
      </w:r>
      <w:r>
        <w:rPr>
          <w:rFonts w:hint="default" w:ascii="Times New Roman" w:hAnsi="Times New Roman" w:cs="Times New Roman"/>
        </w:rPr>
        <w:fldChar w:fldCharType="separate"/>
      </w:r>
      <w:r>
        <w:rPr>
          <w:rFonts w:hint="default" w:ascii="Times New Roman" w:hAnsi="Times New Roman" w:cs="Times New Roman"/>
        </w:rPr>
        <w:t>39</w:t>
      </w:r>
      <w:r>
        <w:rPr>
          <w:rFonts w:hint="default" w:ascii="Times New Roman" w:hAnsi="Times New Roman" w:cs="Times New Roman"/>
        </w:rPr>
        <w:fldChar w:fldCharType="end"/>
      </w:r>
      <w:r>
        <w:rPr>
          <w:rFonts w:hint="default" w:ascii="Times New Roman" w:hAnsi="Times New Roman" w:cs="Times New Roman"/>
        </w:rPr>
        <w:fldChar w:fldCharType="end"/>
      </w:r>
    </w:p>
    <w:p w14:paraId="3539E3B8">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_Toc611205878 </w:instrText>
      </w:r>
      <w:r>
        <w:rPr>
          <w:rFonts w:hint="default" w:ascii="Times New Roman" w:hAnsi="Times New Roman" w:cs="Times New Roman"/>
        </w:rPr>
        <w:fldChar w:fldCharType="separate"/>
      </w:r>
      <w:r>
        <w:rPr>
          <w:rFonts w:hint="default" w:ascii="Times New Roman" w:hAnsi="Times New Roman" w:cs="Times New Roman"/>
        </w:rPr>
        <w:t>11.4  履约过程记录的归集与审查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_Toc611205878 \h </w:instrText>
      </w:r>
      <w:r>
        <w:rPr>
          <w:rFonts w:hint="default" w:ascii="Times New Roman" w:hAnsi="Times New Roman" w:cs="Times New Roman"/>
        </w:rPr>
        <w:fldChar w:fldCharType="separate"/>
      </w:r>
      <w:r>
        <w:rPr>
          <w:rFonts w:hint="default" w:ascii="Times New Roman" w:hAnsi="Times New Roman" w:cs="Times New Roman"/>
        </w:rPr>
        <w:t>39</w:t>
      </w:r>
      <w:r>
        <w:rPr>
          <w:rFonts w:hint="default" w:ascii="Times New Roman" w:hAnsi="Times New Roman" w:cs="Times New Roman"/>
        </w:rPr>
        <w:fldChar w:fldCharType="end"/>
      </w:r>
      <w:r>
        <w:rPr>
          <w:rFonts w:hint="default" w:ascii="Times New Roman" w:hAnsi="Times New Roman" w:cs="Times New Roman"/>
        </w:rPr>
        <w:fldChar w:fldCharType="end"/>
      </w:r>
    </w:p>
    <w:p w14:paraId="667534FB">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_Toc1823578801 </w:instrText>
      </w:r>
      <w:r>
        <w:rPr>
          <w:rFonts w:hint="default" w:ascii="Times New Roman" w:hAnsi="Times New Roman" w:cs="Times New Roman"/>
        </w:rPr>
        <w:fldChar w:fldCharType="separate"/>
      </w:r>
      <w:r>
        <w:rPr>
          <w:rFonts w:hint="default" w:ascii="Times New Roman" w:hAnsi="Times New Roman" w:cs="Times New Roman"/>
        </w:rPr>
        <w:t>11.5  验收程序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_Toc1823578801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cs="Times New Roman"/>
        </w:rPr>
        <w:fldChar w:fldCharType="end"/>
      </w:r>
    </w:p>
    <w:p w14:paraId="336BF476">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_Toc1145853135 </w:instrText>
      </w:r>
      <w:r>
        <w:rPr>
          <w:rFonts w:hint="default" w:ascii="Times New Roman" w:hAnsi="Times New Roman" w:cs="Times New Roman"/>
        </w:rPr>
        <w:fldChar w:fldCharType="separate"/>
      </w:r>
      <w:r>
        <w:rPr>
          <w:rFonts w:hint="default" w:ascii="Times New Roman" w:hAnsi="Times New Roman" w:cs="Times New Roman"/>
        </w:rPr>
        <w:t>11.6  履约验收报告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_Toc1145853135 \h </w:instrText>
      </w:r>
      <w:r>
        <w:rPr>
          <w:rFonts w:hint="default" w:ascii="Times New Roman" w:hAnsi="Times New Roman" w:cs="Times New Roman"/>
        </w:rPr>
        <w:fldChar w:fldCharType="separate"/>
      </w:r>
      <w:r>
        <w:rPr>
          <w:rFonts w:hint="default" w:ascii="Times New Roman" w:hAnsi="Times New Roman" w:cs="Times New Roman"/>
        </w:rPr>
        <w:t>41</w:t>
      </w:r>
      <w:r>
        <w:rPr>
          <w:rFonts w:hint="default" w:ascii="Times New Roman" w:hAnsi="Times New Roman" w:cs="Times New Roman"/>
        </w:rPr>
        <w:fldChar w:fldCharType="end"/>
      </w:r>
      <w:r>
        <w:rPr>
          <w:rFonts w:hint="default" w:ascii="Times New Roman" w:hAnsi="Times New Roman" w:cs="Times New Roman"/>
        </w:rPr>
        <w:fldChar w:fldCharType="end"/>
      </w:r>
    </w:p>
    <w:p w14:paraId="05ED472F">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_Toc342449521 </w:instrText>
      </w:r>
      <w:r>
        <w:rPr>
          <w:rFonts w:hint="default" w:ascii="Times New Roman" w:hAnsi="Times New Roman" w:cs="Times New Roman"/>
        </w:rPr>
        <w:fldChar w:fldCharType="separate"/>
      </w:r>
      <w:r>
        <w:rPr>
          <w:rFonts w:hint="default" w:ascii="Times New Roman" w:hAnsi="Times New Roman" w:cs="Times New Roman"/>
        </w:rPr>
        <w:t>11.7  履约验收与结算联动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_Toc342449521 \h </w:instrText>
      </w:r>
      <w:r>
        <w:rPr>
          <w:rFonts w:hint="default" w:ascii="Times New Roman" w:hAnsi="Times New Roman" w:cs="Times New Roman"/>
        </w:rPr>
        <w:fldChar w:fldCharType="separate"/>
      </w:r>
      <w:r>
        <w:rPr>
          <w:rFonts w:hint="default" w:ascii="Times New Roman" w:hAnsi="Times New Roman" w:cs="Times New Roman"/>
        </w:rPr>
        <w:t>42</w:t>
      </w:r>
      <w:r>
        <w:rPr>
          <w:rFonts w:hint="default" w:ascii="Times New Roman" w:hAnsi="Times New Roman" w:cs="Times New Roman"/>
        </w:rPr>
        <w:fldChar w:fldCharType="end"/>
      </w:r>
      <w:r>
        <w:rPr>
          <w:rFonts w:hint="default" w:ascii="Times New Roman" w:hAnsi="Times New Roman" w:cs="Times New Roman"/>
        </w:rPr>
        <w:fldChar w:fldCharType="end"/>
      </w:r>
    </w:p>
    <w:p w14:paraId="0CA8D511">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_Toc1229709939 </w:instrText>
      </w:r>
      <w:r>
        <w:rPr>
          <w:rFonts w:hint="default" w:ascii="Times New Roman" w:hAnsi="Times New Roman" w:cs="Times New Roman"/>
        </w:rPr>
        <w:fldChar w:fldCharType="separate"/>
      </w:r>
      <w:r>
        <w:rPr>
          <w:rFonts w:hint="default" w:ascii="Times New Roman" w:hAnsi="Times New Roman" w:cs="Times New Roman"/>
        </w:rPr>
        <w:t>12  质量保证期管理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_Toc1229709939 \h </w:instrText>
      </w:r>
      <w:r>
        <w:rPr>
          <w:rFonts w:hint="default" w:ascii="Times New Roman" w:hAnsi="Times New Roman" w:cs="Times New Roman"/>
        </w:rPr>
        <w:fldChar w:fldCharType="separate"/>
      </w:r>
      <w:r>
        <w:rPr>
          <w:rFonts w:hint="default" w:ascii="Times New Roman" w:hAnsi="Times New Roman" w:cs="Times New Roman"/>
        </w:rPr>
        <w:t>43</w:t>
      </w:r>
      <w:r>
        <w:rPr>
          <w:rFonts w:hint="default" w:ascii="Times New Roman" w:hAnsi="Times New Roman" w:cs="Times New Roman"/>
        </w:rPr>
        <w:fldChar w:fldCharType="end"/>
      </w:r>
      <w:r>
        <w:rPr>
          <w:rFonts w:hint="default" w:ascii="Times New Roman" w:hAnsi="Times New Roman" w:cs="Times New Roman"/>
        </w:rPr>
        <w:fldChar w:fldCharType="end"/>
      </w:r>
    </w:p>
    <w:p w14:paraId="518A7370">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_Toc2107102652 </w:instrText>
      </w:r>
      <w:r>
        <w:rPr>
          <w:rFonts w:hint="default" w:ascii="Times New Roman" w:hAnsi="Times New Roman" w:cs="Times New Roman"/>
        </w:rPr>
        <w:fldChar w:fldCharType="separate"/>
      </w:r>
      <w:r>
        <w:rPr>
          <w:rFonts w:hint="default" w:ascii="Times New Roman" w:hAnsi="Times New Roman" w:cs="Times New Roman"/>
        </w:rPr>
        <w:t>12.1  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_Toc2107102652 \h </w:instrText>
      </w:r>
      <w:r>
        <w:rPr>
          <w:rFonts w:hint="default" w:ascii="Times New Roman" w:hAnsi="Times New Roman" w:cs="Times New Roman"/>
        </w:rPr>
        <w:fldChar w:fldCharType="separate"/>
      </w:r>
      <w:r>
        <w:rPr>
          <w:rFonts w:hint="default" w:ascii="Times New Roman" w:hAnsi="Times New Roman" w:cs="Times New Roman"/>
        </w:rPr>
        <w:t>43</w:t>
      </w:r>
      <w:r>
        <w:rPr>
          <w:rFonts w:hint="default" w:ascii="Times New Roman" w:hAnsi="Times New Roman" w:cs="Times New Roman"/>
        </w:rPr>
        <w:fldChar w:fldCharType="end"/>
      </w:r>
      <w:r>
        <w:rPr>
          <w:rFonts w:hint="default" w:ascii="Times New Roman" w:hAnsi="Times New Roman" w:cs="Times New Roman"/>
        </w:rPr>
        <w:fldChar w:fldCharType="end"/>
      </w:r>
    </w:p>
    <w:p w14:paraId="5943FA54">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_Toc1142587707 </w:instrText>
      </w:r>
      <w:r>
        <w:rPr>
          <w:rFonts w:hint="default" w:ascii="Times New Roman" w:hAnsi="Times New Roman" w:cs="Times New Roman"/>
        </w:rPr>
        <w:fldChar w:fldCharType="separate"/>
      </w:r>
      <w:r>
        <w:rPr>
          <w:rFonts w:hint="default" w:ascii="Times New Roman" w:hAnsi="Times New Roman" w:cs="Times New Roman"/>
        </w:rPr>
        <w:t>12.2  质量保证责任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_Toc1142587707 \h </w:instrText>
      </w:r>
      <w:r>
        <w:rPr>
          <w:rFonts w:hint="default" w:ascii="Times New Roman" w:hAnsi="Times New Roman" w:cs="Times New Roman"/>
        </w:rPr>
        <w:fldChar w:fldCharType="separate"/>
      </w:r>
      <w:r>
        <w:rPr>
          <w:rFonts w:hint="default" w:ascii="Times New Roman" w:hAnsi="Times New Roman" w:cs="Times New Roman"/>
        </w:rPr>
        <w:t>43</w:t>
      </w:r>
      <w:r>
        <w:rPr>
          <w:rFonts w:hint="default" w:ascii="Times New Roman" w:hAnsi="Times New Roman" w:cs="Times New Roman"/>
        </w:rPr>
        <w:fldChar w:fldCharType="end"/>
      </w:r>
      <w:r>
        <w:rPr>
          <w:rFonts w:hint="default" w:ascii="Times New Roman" w:hAnsi="Times New Roman" w:cs="Times New Roman"/>
        </w:rPr>
        <w:fldChar w:fldCharType="end"/>
      </w:r>
    </w:p>
    <w:p w14:paraId="523F56D1">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_Toc578445840 </w:instrText>
      </w:r>
      <w:r>
        <w:rPr>
          <w:rFonts w:hint="default" w:ascii="Times New Roman" w:hAnsi="Times New Roman" w:cs="Times New Roman"/>
        </w:rPr>
        <w:fldChar w:fldCharType="separate"/>
      </w:r>
      <w:r>
        <w:rPr>
          <w:rFonts w:hint="default" w:ascii="Times New Roman" w:hAnsi="Times New Roman" w:cs="Times New Roman"/>
        </w:rPr>
        <w:t>12.3  质量缺陷的处理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_Toc578445840 \h </w:instrText>
      </w:r>
      <w:r>
        <w:rPr>
          <w:rFonts w:hint="default" w:ascii="Times New Roman" w:hAnsi="Times New Roman" w:cs="Times New Roman"/>
        </w:rPr>
        <w:fldChar w:fldCharType="separate"/>
      </w:r>
      <w:r>
        <w:rPr>
          <w:rFonts w:hint="default" w:ascii="Times New Roman" w:hAnsi="Times New Roman" w:cs="Times New Roman"/>
        </w:rPr>
        <w:t>43</w:t>
      </w:r>
      <w:r>
        <w:rPr>
          <w:rFonts w:hint="default" w:ascii="Times New Roman" w:hAnsi="Times New Roman" w:cs="Times New Roman"/>
        </w:rPr>
        <w:fldChar w:fldCharType="end"/>
      </w:r>
      <w:r>
        <w:rPr>
          <w:rFonts w:hint="default" w:ascii="Times New Roman" w:hAnsi="Times New Roman" w:cs="Times New Roman"/>
        </w:rPr>
        <w:fldChar w:fldCharType="end"/>
      </w:r>
    </w:p>
    <w:p w14:paraId="3AAD6B16">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_Toc445077430 </w:instrText>
      </w:r>
      <w:r>
        <w:rPr>
          <w:rFonts w:hint="default" w:ascii="Times New Roman" w:hAnsi="Times New Roman" w:cs="Times New Roman"/>
        </w:rPr>
        <w:fldChar w:fldCharType="separate"/>
      </w:r>
      <w:r>
        <w:rPr>
          <w:rFonts w:hint="default" w:ascii="Times New Roman" w:hAnsi="Times New Roman" w:cs="Times New Roman"/>
        </w:rPr>
        <w:t>12.4  质量保证金管理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_Toc445077430 \h </w:instrText>
      </w:r>
      <w:r>
        <w:rPr>
          <w:rFonts w:hint="default" w:ascii="Times New Roman" w:hAnsi="Times New Roman" w:cs="Times New Roman"/>
        </w:rPr>
        <w:fldChar w:fldCharType="separate"/>
      </w:r>
      <w:r>
        <w:rPr>
          <w:rFonts w:hint="default" w:ascii="Times New Roman" w:hAnsi="Times New Roman" w:cs="Times New Roman"/>
        </w:rPr>
        <w:t>44</w:t>
      </w:r>
      <w:r>
        <w:rPr>
          <w:rFonts w:hint="default" w:ascii="Times New Roman" w:hAnsi="Times New Roman" w:cs="Times New Roman"/>
        </w:rPr>
        <w:fldChar w:fldCharType="end"/>
      </w:r>
      <w:r>
        <w:rPr>
          <w:rFonts w:hint="default" w:ascii="Times New Roman" w:hAnsi="Times New Roman" w:cs="Times New Roman"/>
        </w:rPr>
        <w:fldChar w:fldCharType="end"/>
      </w:r>
    </w:p>
    <w:p w14:paraId="26E65244">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_Toc549464632 </w:instrText>
      </w:r>
      <w:r>
        <w:rPr>
          <w:rFonts w:hint="default" w:ascii="Times New Roman" w:hAnsi="Times New Roman" w:cs="Times New Roman"/>
        </w:rPr>
        <w:fldChar w:fldCharType="separate"/>
      </w:r>
      <w:r>
        <w:rPr>
          <w:rFonts w:hint="default" w:ascii="Times New Roman" w:hAnsi="Times New Roman" w:cs="Times New Roman"/>
        </w:rPr>
        <w:t>12.5  质量保证期满与档案移交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_Toc549464632 \h </w:instrText>
      </w:r>
      <w:r>
        <w:rPr>
          <w:rFonts w:hint="default" w:ascii="Times New Roman" w:hAnsi="Times New Roman" w:cs="Times New Roman"/>
        </w:rPr>
        <w:fldChar w:fldCharType="separate"/>
      </w:r>
      <w:r>
        <w:rPr>
          <w:rFonts w:hint="default" w:ascii="Times New Roman" w:hAnsi="Times New Roman" w:cs="Times New Roman"/>
        </w:rPr>
        <w:t>45</w:t>
      </w:r>
      <w:r>
        <w:rPr>
          <w:rFonts w:hint="default" w:ascii="Times New Roman" w:hAnsi="Times New Roman" w:cs="Times New Roman"/>
        </w:rPr>
        <w:fldChar w:fldCharType="end"/>
      </w:r>
      <w:r>
        <w:rPr>
          <w:rFonts w:hint="default" w:ascii="Times New Roman" w:hAnsi="Times New Roman" w:cs="Times New Roman"/>
        </w:rPr>
        <w:fldChar w:fldCharType="end"/>
      </w:r>
    </w:p>
    <w:p w14:paraId="2DBF812C">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_Toc1733307183 </w:instrText>
      </w:r>
      <w:r>
        <w:rPr>
          <w:rFonts w:hint="default" w:ascii="Times New Roman" w:hAnsi="Times New Roman" w:cs="Times New Roman"/>
        </w:rPr>
        <w:fldChar w:fldCharType="separate"/>
      </w:r>
      <w:r>
        <w:rPr>
          <w:rFonts w:hint="default" w:ascii="Times New Roman" w:hAnsi="Times New Roman" w:cs="Times New Roman"/>
        </w:rPr>
        <w:t>13  履约评价和信用管理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_Toc1733307183 \h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cs="Times New Roman"/>
        </w:rPr>
        <w:fldChar w:fldCharType="end"/>
      </w:r>
    </w:p>
    <w:p w14:paraId="3CB1D878">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_Toc1439063927 </w:instrText>
      </w:r>
      <w:r>
        <w:rPr>
          <w:rFonts w:hint="default" w:ascii="Times New Roman" w:hAnsi="Times New Roman" w:cs="Times New Roman"/>
        </w:rPr>
        <w:fldChar w:fldCharType="separate"/>
      </w:r>
      <w:r>
        <w:rPr>
          <w:rFonts w:hint="default" w:ascii="Times New Roman" w:hAnsi="Times New Roman" w:cs="Times New Roman"/>
        </w:rPr>
        <w:t>13.1  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_Toc1439063927 \h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cs="Times New Roman"/>
        </w:rPr>
        <w:fldChar w:fldCharType="end"/>
      </w:r>
    </w:p>
    <w:p w14:paraId="54AB1A87">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_Toc477096266 </w:instrText>
      </w:r>
      <w:r>
        <w:rPr>
          <w:rFonts w:hint="default" w:ascii="Times New Roman" w:hAnsi="Times New Roman" w:cs="Times New Roman"/>
        </w:rPr>
        <w:fldChar w:fldCharType="separate"/>
      </w:r>
      <w:r>
        <w:rPr>
          <w:rFonts w:hint="default" w:ascii="Times New Roman" w:hAnsi="Times New Roman" w:cs="Times New Roman"/>
        </w:rPr>
        <w:t>13.2  评价指标体系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_Toc477096266 \h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cs="Times New Roman"/>
        </w:rPr>
        <w:fldChar w:fldCharType="end"/>
      </w:r>
    </w:p>
    <w:p w14:paraId="267EC496">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_Toc224609881 </w:instrText>
      </w:r>
      <w:r>
        <w:rPr>
          <w:rFonts w:hint="default" w:ascii="Times New Roman" w:hAnsi="Times New Roman" w:cs="Times New Roman"/>
        </w:rPr>
        <w:fldChar w:fldCharType="separate"/>
      </w:r>
      <w:r>
        <w:rPr>
          <w:rFonts w:hint="default" w:ascii="Times New Roman" w:hAnsi="Times New Roman" w:cs="Times New Roman"/>
        </w:rPr>
        <w:t>13.3  履约信息的采集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_Toc224609881 \h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r>
        <w:rPr>
          <w:rFonts w:hint="default" w:ascii="Times New Roman" w:hAnsi="Times New Roman" w:cs="Times New Roman"/>
        </w:rPr>
        <w:fldChar w:fldCharType="end"/>
      </w:r>
    </w:p>
    <w:p w14:paraId="7C6A8008">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_Toc787778029 </w:instrText>
      </w:r>
      <w:r>
        <w:rPr>
          <w:rFonts w:hint="default" w:ascii="Times New Roman" w:hAnsi="Times New Roman" w:cs="Times New Roman"/>
        </w:rPr>
        <w:fldChar w:fldCharType="separate"/>
      </w:r>
      <w:r>
        <w:rPr>
          <w:rFonts w:hint="default" w:ascii="Times New Roman" w:hAnsi="Times New Roman" w:cs="Times New Roman"/>
        </w:rPr>
        <w:t>13.4  评价方法与程序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_Toc787778029 \h </w:instrText>
      </w:r>
      <w:r>
        <w:rPr>
          <w:rFonts w:hint="default" w:ascii="Times New Roman" w:hAnsi="Times New Roman" w:cs="Times New Roman"/>
        </w:rPr>
        <w:fldChar w:fldCharType="separate"/>
      </w:r>
      <w:r>
        <w:rPr>
          <w:rFonts w:hint="default" w:ascii="Times New Roman" w:hAnsi="Times New Roman" w:cs="Times New Roman"/>
        </w:rPr>
        <w:t>48</w:t>
      </w:r>
      <w:r>
        <w:rPr>
          <w:rFonts w:hint="default" w:ascii="Times New Roman" w:hAnsi="Times New Roman" w:cs="Times New Roman"/>
        </w:rPr>
        <w:fldChar w:fldCharType="end"/>
      </w:r>
      <w:r>
        <w:rPr>
          <w:rFonts w:hint="default" w:ascii="Times New Roman" w:hAnsi="Times New Roman" w:cs="Times New Roman"/>
        </w:rPr>
        <w:fldChar w:fldCharType="end"/>
      </w:r>
    </w:p>
    <w:p w14:paraId="692C1286">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_Toc1938836198 </w:instrText>
      </w:r>
      <w:r>
        <w:rPr>
          <w:rFonts w:hint="default" w:ascii="Times New Roman" w:hAnsi="Times New Roman" w:cs="Times New Roman"/>
        </w:rPr>
        <w:fldChar w:fldCharType="separate"/>
      </w:r>
      <w:r>
        <w:rPr>
          <w:rFonts w:hint="default" w:ascii="Times New Roman" w:hAnsi="Times New Roman" w:cs="Times New Roman"/>
        </w:rPr>
        <w:t>13.5  评价结果的运用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_Toc1938836198 \h </w:instrText>
      </w:r>
      <w:r>
        <w:rPr>
          <w:rFonts w:hint="default" w:ascii="Times New Roman" w:hAnsi="Times New Roman" w:cs="Times New Roman"/>
        </w:rPr>
        <w:fldChar w:fldCharType="separate"/>
      </w:r>
      <w:r>
        <w:rPr>
          <w:rFonts w:hint="default" w:ascii="Times New Roman" w:hAnsi="Times New Roman" w:cs="Times New Roman"/>
        </w:rPr>
        <w:t>49</w:t>
      </w:r>
      <w:r>
        <w:rPr>
          <w:rFonts w:hint="default" w:ascii="Times New Roman" w:hAnsi="Times New Roman" w:cs="Times New Roman"/>
        </w:rPr>
        <w:fldChar w:fldCharType="end"/>
      </w:r>
      <w:r>
        <w:rPr>
          <w:rFonts w:hint="default" w:ascii="Times New Roman" w:hAnsi="Times New Roman" w:cs="Times New Roman"/>
        </w:rPr>
        <w:fldChar w:fldCharType="end"/>
      </w:r>
    </w:p>
    <w:p w14:paraId="72714FC4">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_Toc630889218 </w:instrText>
      </w:r>
      <w:r>
        <w:rPr>
          <w:rFonts w:hint="default" w:ascii="Times New Roman" w:hAnsi="Times New Roman" w:cs="Times New Roman"/>
        </w:rPr>
        <w:fldChar w:fldCharType="separate"/>
      </w:r>
      <w:r>
        <w:rPr>
          <w:rFonts w:hint="default" w:ascii="Times New Roman" w:hAnsi="Times New Roman" w:cs="Times New Roman"/>
        </w:rPr>
        <w:t>13.6  信用联动与信息共享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_Toc630889218 \h </w:instrText>
      </w:r>
      <w:r>
        <w:rPr>
          <w:rFonts w:hint="default" w:ascii="Times New Roman" w:hAnsi="Times New Roman" w:cs="Times New Roman"/>
        </w:rPr>
        <w:fldChar w:fldCharType="separate"/>
      </w:r>
      <w:r>
        <w:rPr>
          <w:rFonts w:hint="default" w:ascii="Times New Roman" w:hAnsi="Times New Roman" w:cs="Times New Roman"/>
        </w:rPr>
        <w:t>49</w:t>
      </w:r>
      <w:r>
        <w:rPr>
          <w:rFonts w:hint="default" w:ascii="Times New Roman" w:hAnsi="Times New Roman" w:cs="Times New Roman"/>
        </w:rPr>
        <w:fldChar w:fldCharType="end"/>
      </w:r>
      <w:r>
        <w:rPr>
          <w:rFonts w:hint="default" w:ascii="Times New Roman" w:hAnsi="Times New Roman" w:cs="Times New Roman"/>
        </w:rPr>
        <w:fldChar w:fldCharType="end"/>
      </w:r>
    </w:p>
    <w:p w14:paraId="26E73FE7">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_Toc999247359 </w:instrText>
      </w:r>
      <w:r>
        <w:rPr>
          <w:rFonts w:hint="default" w:ascii="Times New Roman" w:hAnsi="Times New Roman" w:cs="Times New Roman"/>
        </w:rPr>
        <w:fldChar w:fldCharType="separate"/>
      </w:r>
      <w:r>
        <w:rPr>
          <w:rFonts w:hint="default" w:ascii="Times New Roman" w:hAnsi="Times New Roman" w:cs="Times New Roman"/>
        </w:rPr>
        <w:t>13.7  信用修复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_Toc999247359 \h </w:instrText>
      </w:r>
      <w:r>
        <w:rPr>
          <w:rFonts w:hint="default" w:ascii="Times New Roman" w:hAnsi="Times New Roman" w:cs="Times New Roman"/>
        </w:rPr>
        <w:fldChar w:fldCharType="separate"/>
      </w:r>
      <w:r>
        <w:rPr>
          <w:rFonts w:hint="default" w:ascii="Times New Roman" w:hAnsi="Times New Roman" w:cs="Times New Roman"/>
        </w:rPr>
        <w:t>50</w:t>
      </w:r>
      <w:r>
        <w:rPr>
          <w:rFonts w:hint="default" w:ascii="Times New Roman" w:hAnsi="Times New Roman" w:cs="Times New Roman"/>
        </w:rPr>
        <w:fldChar w:fldCharType="end"/>
      </w:r>
      <w:r>
        <w:rPr>
          <w:rFonts w:hint="default" w:ascii="Times New Roman" w:hAnsi="Times New Roman" w:cs="Times New Roman"/>
        </w:rPr>
        <w:fldChar w:fldCharType="end"/>
      </w:r>
    </w:p>
    <w:p w14:paraId="621AC6EE">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_Toc474992517 </w:instrText>
      </w:r>
      <w:r>
        <w:rPr>
          <w:rFonts w:hint="default" w:ascii="Times New Roman" w:hAnsi="Times New Roman" w:cs="Times New Roman"/>
        </w:rPr>
        <w:fldChar w:fldCharType="separate"/>
      </w:r>
      <w:r>
        <w:rPr>
          <w:rFonts w:hint="default" w:ascii="Times New Roman" w:hAnsi="Times New Roman" w:cs="Times New Roman"/>
        </w:rPr>
        <w:t>13.8  档案管理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_Toc474992517 \h </w:instrText>
      </w:r>
      <w:r>
        <w:rPr>
          <w:rFonts w:hint="default" w:ascii="Times New Roman" w:hAnsi="Times New Roman" w:cs="Times New Roman"/>
        </w:rPr>
        <w:fldChar w:fldCharType="separate"/>
      </w:r>
      <w:r>
        <w:rPr>
          <w:rFonts w:hint="default" w:ascii="Times New Roman" w:hAnsi="Times New Roman" w:cs="Times New Roman"/>
        </w:rPr>
        <w:t>50</w:t>
      </w:r>
      <w:r>
        <w:rPr>
          <w:rFonts w:hint="default" w:ascii="Times New Roman" w:hAnsi="Times New Roman" w:cs="Times New Roman"/>
        </w:rPr>
        <w:fldChar w:fldCharType="end"/>
      </w:r>
      <w:r>
        <w:rPr>
          <w:rFonts w:hint="default" w:ascii="Times New Roman" w:hAnsi="Times New Roman" w:cs="Times New Roman"/>
        </w:rPr>
        <w:fldChar w:fldCharType="end"/>
      </w:r>
    </w:p>
    <w:p w14:paraId="2A23199B">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_Toc72819116 </w:instrText>
      </w:r>
      <w:r>
        <w:rPr>
          <w:rFonts w:hint="default" w:ascii="Times New Roman" w:hAnsi="Times New Roman" w:cs="Times New Roman"/>
        </w:rPr>
        <w:fldChar w:fldCharType="separate"/>
      </w:r>
      <w:r>
        <w:rPr>
          <w:rFonts w:hint="default" w:ascii="Times New Roman" w:hAnsi="Times New Roman" w:cs="Times New Roman"/>
        </w:rPr>
        <w:t>14  争议管理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_Toc72819116 \h </w:instrText>
      </w:r>
      <w:r>
        <w:rPr>
          <w:rFonts w:hint="default" w:ascii="Times New Roman" w:hAnsi="Times New Roman" w:cs="Times New Roman"/>
        </w:rPr>
        <w:fldChar w:fldCharType="separate"/>
      </w:r>
      <w:r>
        <w:rPr>
          <w:rFonts w:hint="default" w:ascii="Times New Roman" w:hAnsi="Times New Roman" w:cs="Times New Roman"/>
        </w:rPr>
        <w:t>52</w:t>
      </w:r>
      <w:r>
        <w:rPr>
          <w:rFonts w:hint="default" w:ascii="Times New Roman" w:hAnsi="Times New Roman" w:cs="Times New Roman"/>
        </w:rPr>
        <w:fldChar w:fldCharType="end"/>
      </w:r>
      <w:r>
        <w:rPr>
          <w:rFonts w:hint="default" w:ascii="Times New Roman" w:hAnsi="Times New Roman" w:cs="Times New Roman"/>
        </w:rPr>
        <w:fldChar w:fldCharType="end"/>
      </w:r>
    </w:p>
    <w:p w14:paraId="63158F0A">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_Toc2036874164 </w:instrText>
      </w:r>
      <w:r>
        <w:rPr>
          <w:rFonts w:hint="default" w:ascii="Times New Roman" w:hAnsi="Times New Roman" w:cs="Times New Roman"/>
        </w:rPr>
        <w:fldChar w:fldCharType="separate"/>
      </w:r>
      <w:r>
        <w:rPr>
          <w:rFonts w:hint="default" w:ascii="Times New Roman" w:hAnsi="Times New Roman" w:cs="Times New Roman"/>
        </w:rPr>
        <w:t>14.1  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_Toc2036874164 \h </w:instrText>
      </w:r>
      <w:r>
        <w:rPr>
          <w:rFonts w:hint="default" w:ascii="Times New Roman" w:hAnsi="Times New Roman" w:cs="Times New Roman"/>
        </w:rPr>
        <w:fldChar w:fldCharType="separate"/>
      </w:r>
      <w:r>
        <w:rPr>
          <w:rFonts w:hint="default" w:ascii="Times New Roman" w:hAnsi="Times New Roman" w:cs="Times New Roman"/>
        </w:rPr>
        <w:t>52</w:t>
      </w:r>
      <w:r>
        <w:rPr>
          <w:rFonts w:hint="default" w:ascii="Times New Roman" w:hAnsi="Times New Roman" w:cs="Times New Roman"/>
        </w:rPr>
        <w:fldChar w:fldCharType="end"/>
      </w:r>
      <w:r>
        <w:rPr>
          <w:rFonts w:hint="default" w:ascii="Times New Roman" w:hAnsi="Times New Roman" w:cs="Times New Roman"/>
        </w:rPr>
        <w:fldChar w:fldCharType="end"/>
      </w:r>
    </w:p>
    <w:p w14:paraId="7FE59218">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_Toc1803723580 </w:instrText>
      </w:r>
      <w:r>
        <w:rPr>
          <w:rFonts w:hint="default" w:ascii="Times New Roman" w:hAnsi="Times New Roman" w:cs="Times New Roman"/>
        </w:rPr>
        <w:fldChar w:fldCharType="separate"/>
      </w:r>
      <w:r>
        <w:rPr>
          <w:rFonts w:hint="default" w:ascii="Times New Roman" w:hAnsi="Times New Roman" w:cs="Times New Roman"/>
        </w:rPr>
        <w:t>14.2  争议的识别与登记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_Toc1803723580 \h </w:instrText>
      </w:r>
      <w:r>
        <w:rPr>
          <w:rFonts w:hint="default" w:ascii="Times New Roman" w:hAnsi="Times New Roman" w:cs="Times New Roman"/>
        </w:rPr>
        <w:fldChar w:fldCharType="separate"/>
      </w:r>
      <w:r>
        <w:rPr>
          <w:rFonts w:hint="default" w:ascii="Times New Roman" w:hAnsi="Times New Roman" w:cs="Times New Roman"/>
        </w:rPr>
        <w:t>52</w:t>
      </w:r>
      <w:r>
        <w:rPr>
          <w:rFonts w:hint="default" w:ascii="Times New Roman" w:hAnsi="Times New Roman" w:cs="Times New Roman"/>
        </w:rPr>
        <w:fldChar w:fldCharType="end"/>
      </w:r>
      <w:r>
        <w:rPr>
          <w:rFonts w:hint="default" w:ascii="Times New Roman" w:hAnsi="Times New Roman" w:cs="Times New Roman"/>
        </w:rPr>
        <w:fldChar w:fldCharType="end"/>
      </w:r>
    </w:p>
    <w:p w14:paraId="616139BF">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_Toc1297870969 </w:instrText>
      </w:r>
      <w:r>
        <w:rPr>
          <w:rFonts w:hint="default" w:ascii="Times New Roman" w:hAnsi="Times New Roman" w:cs="Times New Roman"/>
        </w:rPr>
        <w:fldChar w:fldCharType="separate"/>
      </w:r>
      <w:r>
        <w:rPr>
          <w:rFonts w:hint="default" w:ascii="Times New Roman" w:hAnsi="Times New Roman" w:cs="Times New Roman"/>
        </w:rPr>
        <w:t>14.3  争议的协商与处理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_Toc1297870969 \h </w:instrText>
      </w:r>
      <w:r>
        <w:rPr>
          <w:rFonts w:hint="default" w:ascii="Times New Roman" w:hAnsi="Times New Roman" w:cs="Times New Roman"/>
        </w:rPr>
        <w:fldChar w:fldCharType="separate"/>
      </w:r>
      <w:r>
        <w:rPr>
          <w:rFonts w:hint="default" w:ascii="Times New Roman" w:hAnsi="Times New Roman" w:cs="Times New Roman"/>
        </w:rPr>
        <w:t>53</w:t>
      </w:r>
      <w:r>
        <w:rPr>
          <w:rFonts w:hint="default" w:ascii="Times New Roman" w:hAnsi="Times New Roman" w:cs="Times New Roman"/>
        </w:rPr>
        <w:fldChar w:fldCharType="end"/>
      </w:r>
      <w:r>
        <w:rPr>
          <w:rFonts w:hint="default" w:ascii="Times New Roman" w:hAnsi="Times New Roman" w:cs="Times New Roman"/>
        </w:rPr>
        <w:fldChar w:fldCharType="end"/>
      </w:r>
    </w:p>
    <w:p w14:paraId="1B45B5CE">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_Toc607625293 </w:instrText>
      </w:r>
      <w:r>
        <w:rPr>
          <w:rFonts w:hint="default" w:ascii="Times New Roman" w:hAnsi="Times New Roman" w:cs="Times New Roman"/>
        </w:rPr>
        <w:fldChar w:fldCharType="separate"/>
      </w:r>
      <w:r>
        <w:rPr>
          <w:rFonts w:hint="default" w:ascii="Times New Roman" w:hAnsi="Times New Roman" w:cs="Times New Roman"/>
        </w:rPr>
        <w:t>14.4  争议处理的执行与归档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_Toc607625293 \h </w:instrText>
      </w:r>
      <w:r>
        <w:rPr>
          <w:rFonts w:hint="default" w:ascii="Times New Roman" w:hAnsi="Times New Roman" w:cs="Times New Roman"/>
        </w:rPr>
        <w:fldChar w:fldCharType="separate"/>
      </w:r>
      <w:r>
        <w:rPr>
          <w:rFonts w:hint="default" w:ascii="Times New Roman" w:hAnsi="Times New Roman" w:cs="Times New Roman"/>
        </w:rPr>
        <w:t>53</w:t>
      </w:r>
      <w:r>
        <w:rPr>
          <w:rFonts w:hint="default" w:ascii="Times New Roman" w:hAnsi="Times New Roman" w:cs="Times New Roman"/>
        </w:rPr>
        <w:fldChar w:fldCharType="end"/>
      </w:r>
      <w:r>
        <w:rPr>
          <w:rFonts w:hint="default" w:ascii="Times New Roman" w:hAnsi="Times New Roman" w:cs="Times New Roman"/>
        </w:rPr>
        <w:fldChar w:fldCharType="end"/>
      </w:r>
    </w:p>
    <w:p w14:paraId="6BD7EA5E">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_Toc636866571 </w:instrText>
      </w:r>
      <w:r>
        <w:rPr>
          <w:rFonts w:hint="default" w:ascii="Times New Roman" w:hAnsi="Times New Roman" w:cs="Times New Roman"/>
        </w:rPr>
        <w:fldChar w:fldCharType="separate"/>
      </w:r>
      <w:r>
        <w:rPr>
          <w:rFonts w:hint="default" w:ascii="Times New Roman" w:hAnsi="Times New Roman" w:cs="Times New Roman"/>
        </w:rPr>
        <w:t>15  主管部门监督管理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_Toc636866571 \h </w:instrText>
      </w:r>
      <w:r>
        <w:rPr>
          <w:rFonts w:hint="default" w:ascii="Times New Roman" w:hAnsi="Times New Roman" w:cs="Times New Roman"/>
        </w:rPr>
        <w:fldChar w:fldCharType="separate"/>
      </w:r>
      <w:r>
        <w:rPr>
          <w:rFonts w:hint="default" w:ascii="Times New Roman" w:hAnsi="Times New Roman" w:cs="Times New Roman"/>
        </w:rPr>
        <w:t>55</w:t>
      </w:r>
      <w:r>
        <w:rPr>
          <w:rFonts w:hint="default" w:ascii="Times New Roman" w:hAnsi="Times New Roman" w:cs="Times New Roman"/>
        </w:rPr>
        <w:fldChar w:fldCharType="end"/>
      </w:r>
      <w:r>
        <w:rPr>
          <w:rFonts w:hint="default" w:ascii="Times New Roman" w:hAnsi="Times New Roman" w:cs="Times New Roman"/>
        </w:rPr>
        <w:fldChar w:fldCharType="end"/>
      </w:r>
    </w:p>
    <w:p w14:paraId="772104D6">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_Toc590002328 </w:instrText>
      </w:r>
      <w:r>
        <w:rPr>
          <w:rFonts w:hint="default" w:ascii="Times New Roman" w:hAnsi="Times New Roman" w:cs="Times New Roman"/>
        </w:rPr>
        <w:fldChar w:fldCharType="separate"/>
      </w:r>
      <w:r>
        <w:rPr>
          <w:rFonts w:hint="default" w:ascii="Times New Roman" w:hAnsi="Times New Roman" w:cs="Times New Roman"/>
        </w:rPr>
        <w:t>15.1  一般原则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_Toc590002328 \h </w:instrText>
      </w:r>
      <w:r>
        <w:rPr>
          <w:rFonts w:hint="default" w:ascii="Times New Roman" w:hAnsi="Times New Roman" w:cs="Times New Roman"/>
        </w:rPr>
        <w:fldChar w:fldCharType="separate"/>
      </w:r>
      <w:r>
        <w:rPr>
          <w:rFonts w:hint="default" w:ascii="Times New Roman" w:hAnsi="Times New Roman" w:cs="Times New Roman"/>
        </w:rPr>
        <w:t>55</w:t>
      </w:r>
      <w:r>
        <w:rPr>
          <w:rFonts w:hint="default" w:ascii="Times New Roman" w:hAnsi="Times New Roman" w:cs="Times New Roman"/>
        </w:rPr>
        <w:fldChar w:fldCharType="end"/>
      </w:r>
      <w:r>
        <w:rPr>
          <w:rFonts w:hint="default" w:ascii="Times New Roman" w:hAnsi="Times New Roman" w:cs="Times New Roman"/>
        </w:rPr>
        <w:fldChar w:fldCharType="end"/>
      </w:r>
    </w:p>
    <w:p w14:paraId="6E9E8EE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_Toc932252886 </w:instrText>
      </w:r>
      <w:r>
        <w:rPr>
          <w:rFonts w:hint="default" w:ascii="Times New Roman" w:hAnsi="Times New Roman" w:cs="Times New Roman"/>
        </w:rPr>
        <w:fldChar w:fldCharType="separate"/>
      </w:r>
      <w:r>
        <w:rPr>
          <w:rFonts w:hint="default" w:ascii="Times New Roman" w:hAnsi="Times New Roman" w:cs="Times New Roman"/>
        </w:rPr>
        <w:t>15.2  监督管理职责与方式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_Toc932252886 \h </w:instrText>
      </w:r>
      <w:r>
        <w:rPr>
          <w:rFonts w:hint="default" w:ascii="Times New Roman" w:hAnsi="Times New Roman" w:cs="Times New Roman"/>
        </w:rPr>
        <w:fldChar w:fldCharType="separate"/>
      </w:r>
      <w:r>
        <w:rPr>
          <w:rFonts w:hint="default" w:ascii="Times New Roman" w:hAnsi="Times New Roman" w:cs="Times New Roman"/>
        </w:rPr>
        <w:t>55</w:t>
      </w:r>
      <w:r>
        <w:rPr>
          <w:rFonts w:hint="default" w:ascii="Times New Roman" w:hAnsi="Times New Roman" w:cs="Times New Roman"/>
        </w:rPr>
        <w:fldChar w:fldCharType="end"/>
      </w:r>
      <w:r>
        <w:rPr>
          <w:rFonts w:hint="default" w:ascii="Times New Roman" w:hAnsi="Times New Roman" w:cs="Times New Roman"/>
        </w:rPr>
        <w:fldChar w:fldCharType="end"/>
      </w:r>
    </w:p>
    <w:p w14:paraId="2C1BF83B">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_Toc1040680804 </w:instrText>
      </w:r>
      <w:r>
        <w:rPr>
          <w:rFonts w:hint="default" w:ascii="Times New Roman" w:hAnsi="Times New Roman" w:cs="Times New Roman"/>
        </w:rPr>
        <w:fldChar w:fldCharType="separate"/>
      </w:r>
      <w:r>
        <w:rPr>
          <w:rFonts w:hint="default" w:ascii="Times New Roman" w:hAnsi="Times New Roman" w:cs="Times New Roman"/>
        </w:rPr>
        <w:t>15.3  问题发现与处理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_Toc1040680804 \h </w:instrText>
      </w:r>
      <w:r>
        <w:rPr>
          <w:rFonts w:hint="default" w:ascii="Times New Roman" w:hAnsi="Times New Roman" w:cs="Times New Roman"/>
        </w:rPr>
        <w:fldChar w:fldCharType="separate"/>
      </w:r>
      <w:r>
        <w:rPr>
          <w:rFonts w:hint="default" w:ascii="Times New Roman" w:hAnsi="Times New Roman" w:cs="Times New Roman"/>
        </w:rPr>
        <w:t>56</w:t>
      </w:r>
      <w:r>
        <w:rPr>
          <w:rFonts w:hint="default" w:ascii="Times New Roman" w:hAnsi="Times New Roman" w:cs="Times New Roman"/>
        </w:rPr>
        <w:fldChar w:fldCharType="end"/>
      </w:r>
      <w:r>
        <w:rPr>
          <w:rFonts w:hint="default" w:ascii="Times New Roman" w:hAnsi="Times New Roman" w:cs="Times New Roman"/>
        </w:rPr>
        <w:fldChar w:fldCharType="end"/>
      </w:r>
    </w:p>
    <w:p w14:paraId="67E36025">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_Toc2091463185 </w:instrText>
      </w:r>
      <w:r>
        <w:rPr>
          <w:rFonts w:hint="default" w:ascii="Times New Roman" w:hAnsi="Times New Roman" w:cs="Times New Roman"/>
        </w:rPr>
        <w:fldChar w:fldCharType="separate"/>
      </w:r>
      <w:r>
        <w:rPr>
          <w:rFonts w:hint="default" w:ascii="Times New Roman" w:hAnsi="Times New Roman" w:cs="Times New Roman"/>
        </w:rPr>
        <w:t>15.4  信用管理与信息报送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_Toc2091463185 \h </w:instrText>
      </w:r>
      <w:r>
        <w:rPr>
          <w:rFonts w:hint="default" w:ascii="Times New Roman" w:hAnsi="Times New Roman" w:cs="Times New Roman"/>
        </w:rPr>
        <w:fldChar w:fldCharType="separate"/>
      </w:r>
      <w:r>
        <w:rPr>
          <w:rFonts w:hint="default" w:ascii="Times New Roman" w:hAnsi="Times New Roman" w:cs="Times New Roman"/>
        </w:rPr>
        <w:t>57</w:t>
      </w:r>
      <w:r>
        <w:rPr>
          <w:rFonts w:hint="default" w:ascii="Times New Roman" w:hAnsi="Times New Roman" w:cs="Times New Roman"/>
        </w:rPr>
        <w:fldChar w:fldCharType="end"/>
      </w:r>
      <w:r>
        <w:rPr>
          <w:rFonts w:hint="default" w:ascii="Times New Roman" w:hAnsi="Times New Roman" w:cs="Times New Roman"/>
        </w:rPr>
        <w:fldChar w:fldCharType="end"/>
      </w:r>
    </w:p>
    <w:p w14:paraId="57E6EBF6">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_Toc122395404 </w:instrText>
      </w:r>
      <w:r>
        <w:rPr>
          <w:rFonts w:hint="default" w:ascii="Times New Roman" w:hAnsi="Times New Roman" w:cs="Times New Roman"/>
        </w:rPr>
        <w:fldChar w:fldCharType="separate"/>
      </w:r>
      <w:r>
        <w:rPr>
          <w:rFonts w:hint="default" w:ascii="Times New Roman" w:hAnsi="Times New Roman" w:cs="Times New Roman"/>
        </w:rPr>
        <w:t>16  履约管理数智化</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_Toc122395404 \h </w:instrText>
      </w:r>
      <w:r>
        <w:rPr>
          <w:rFonts w:hint="default" w:ascii="Times New Roman" w:hAnsi="Times New Roman" w:cs="Times New Roman"/>
        </w:rPr>
        <w:fldChar w:fldCharType="separate"/>
      </w:r>
      <w:r>
        <w:rPr>
          <w:rFonts w:hint="default" w:ascii="Times New Roman" w:hAnsi="Times New Roman" w:cs="Times New Roman"/>
        </w:rPr>
        <w:t>58</w:t>
      </w:r>
      <w:r>
        <w:rPr>
          <w:rFonts w:hint="default" w:ascii="Times New Roman" w:hAnsi="Times New Roman" w:cs="Times New Roman"/>
        </w:rPr>
        <w:fldChar w:fldCharType="end"/>
      </w:r>
      <w:r>
        <w:rPr>
          <w:rFonts w:hint="default" w:ascii="Times New Roman" w:hAnsi="Times New Roman" w:cs="Times New Roman"/>
        </w:rPr>
        <w:fldChar w:fldCharType="end"/>
      </w:r>
    </w:p>
    <w:p w14:paraId="06B263AE">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_Toc786659056 </w:instrText>
      </w:r>
      <w:r>
        <w:rPr>
          <w:rFonts w:hint="default" w:ascii="Times New Roman" w:hAnsi="Times New Roman" w:cs="Times New Roman"/>
        </w:rPr>
        <w:fldChar w:fldCharType="separate"/>
      </w:r>
      <w:r>
        <w:rPr>
          <w:rFonts w:hint="default" w:ascii="Times New Roman" w:hAnsi="Times New Roman" w:cs="Times New Roman"/>
        </w:rPr>
        <w:t>16.1  一般规定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_Toc786659056 \h </w:instrText>
      </w:r>
      <w:r>
        <w:rPr>
          <w:rFonts w:hint="default" w:ascii="Times New Roman" w:hAnsi="Times New Roman" w:cs="Times New Roman"/>
        </w:rPr>
        <w:fldChar w:fldCharType="separate"/>
      </w:r>
      <w:r>
        <w:rPr>
          <w:rFonts w:hint="default" w:ascii="Times New Roman" w:hAnsi="Times New Roman" w:cs="Times New Roman"/>
        </w:rPr>
        <w:t>58</w:t>
      </w:r>
      <w:r>
        <w:rPr>
          <w:rFonts w:hint="default" w:ascii="Times New Roman" w:hAnsi="Times New Roman" w:cs="Times New Roman"/>
        </w:rPr>
        <w:fldChar w:fldCharType="end"/>
      </w:r>
      <w:r>
        <w:rPr>
          <w:rFonts w:hint="default" w:ascii="Times New Roman" w:hAnsi="Times New Roman" w:cs="Times New Roman"/>
        </w:rPr>
        <w:fldChar w:fldCharType="end"/>
      </w:r>
    </w:p>
    <w:p w14:paraId="5589E8F6">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_Toc555185415 </w:instrText>
      </w:r>
      <w:r>
        <w:rPr>
          <w:rFonts w:hint="default" w:ascii="Times New Roman" w:hAnsi="Times New Roman" w:cs="Times New Roman"/>
        </w:rPr>
        <w:fldChar w:fldCharType="separate"/>
      </w:r>
      <w:r>
        <w:rPr>
          <w:rFonts w:hint="default" w:ascii="Times New Roman" w:hAnsi="Times New Roman" w:cs="Times New Roman"/>
        </w:rPr>
        <w:t>16.2  数智化管理平台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_Toc555185415 \h </w:instrText>
      </w:r>
      <w:r>
        <w:rPr>
          <w:rFonts w:hint="default" w:ascii="Times New Roman" w:hAnsi="Times New Roman" w:cs="Times New Roman"/>
        </w:rPr>
        <w:fldChar w:fldCharType="separate"/>
      </w:r>
      <w:r>
        <w:rPr>
          <w:rFonts w:hint="default" w:ascii="Times New Roman" w:hAnsi="Times New Roman" w:cs="Times New Roman"/>
        </w:rPr>
        <w:t>58</w:t>
      </w:r>
      <w:r>
        <w:rPr>
          <w:rFonts w:hint="default" w:ascii="Times New Roman" w:hAnsi="Times New Roman" w:cs="Times New Roman"/>
        </w:rPr>
        <w:fldChar w:fldCharType="end"/>
      </w:r>
      <w:r>
        <w:rPr>
          <w:rFonts w:hint="default" w:ascii="Times New Roman" w:hAnsi="Times New Roman" w:cs="Times New Roman"/>
        </w:rPr>
        <w:fldChar w:fldCharType="end"/>
      </w:r>
    </w:p>
    <w:p w14:paraId="2E5D4B99">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_Toc1945974205 </w:instrText>
      </w:r>
      <w:r>
        <w:rPr>
          <w:rFonts w:hint="default" w:ascii="Times New Roman" w:hAnsi="Times New Roman" w:cs="Times New Roman"/>
        </w:rPr>
        <w:fldChar w:fldCharType="separate"/>
      </w:r>
      <w:r>
        <w:rPr>
          <w:rFonts w:hint="default" w:ascii="Times New Roman" w:hAnsi="Times New Roman" w:cs="Times New Roman"/>
        </w:rPr>
        <w:t>16.3  数据采集与管理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_Toc1945974205 \h </w:instrText>
      </w:r>
      <w:r>
        <w:rPr>
          <w:rFonts w:hint="default" w:ascii="Times New Roman" w:hAnsi="Times New Roman" w:cs="Times New Roman"/>
        </w:rPr>
        <w:fldChar w:fldCharType="separate"/>
      </w:r>
      <w:r>
        <w:rPr>
          <w:rFonts w:hint="default" w:ascii="Times New Roman" w:hAnsi="Times New Roman" w:cs="Times New Roman"/>
        </w:rPr>
        <w:t>59</w:t>
      </w:r>
      <w:r>
        <w:rPr>
          <w:rFonts w:hint="default" w:ascii="Times New Roman" w:hAnsi="Times New Roman" w:cs="Times New Roman"/>
        </w:rPr>
        <w:fldChar w:fldCharType="end"/>
      </w:r>
      <w:r>
        <w:rPr>
          <w:rFonts w:hint="default" w:ascii="Times New Roman" w:hAnsi="Times New Roman" w:cs="Times New Roman"/>
        </w:rPr>
        <w:fldChar w:fldCharType="end"/>
      </w:r>
    </w:p>
    <w:p w14:paraId="66F01EE0">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_Toc1932512191 </w:instrText>
      </w:r>
      <w:r>
        <w:rPr>
          <w:rFonts w:hint="default" w:ascii="Times New Roman" w:hAnsi="Times New Roman" w:cs="Times New Roman"/>
        </w:rPr>
        <w:fldChar w:fldCharType="separate"/>
      </w:r>
      <w:r>
        <w:rPr>
          <w:rFonts w:hint="default" w:ascii="Times New Roman" w:hAnsi="Times New Roman" w:cs="Times New Roman"/>
        </w:rPr>
        <w:t>16.4  智能化应用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_Toc1932512191 \h </w:instrText>
      </w:r>
      <w:r>
        <w:rPr>
          <w:rFonts w:hint="default" w:ascii="Times New Roman" w:hAnsi="Times New Roman" w:cs="Times New Roman"/>
        </w:rPr>
        <w:fldChar w:fldCharType="separate"/>
      </w:r>
      <w:r>
        <w:rPr>
          <w:rFonts w:hint="default" w:ascii="Times New Roman" w:hAnsi="Times New Roman" w:cs="Times New Roman"/>
        </w:rPr>
        <w:t>59</w:t>
      </w:r>
      <w:r>
        <w:rPr>
          <w:rFonts w:hint="default" w:ascii="Times New Roman" w:hAnsi="Times New Roman" w:cs="Times New Roman"/>
        </w:rPr>
        <w:fldChar w:fldCharType="end"/>
      </w:r>
      <w:r>
        <w:rPr>
          <w:rFonts w:hint="default" w:ascii="Times New Roman" w:hAnsi="Times New Roman" w:cs="Times New Roman"/>
        </w:rPr>
        <w:fldChar w:fldCharType="end"/>
      </w:r>
    </w:p>
    <w:p w14:paraId="3DC1D2ED">
      <w:pPr>
        <w:pStyle w:val="19"/>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_Toc897634936 </w:instrText>
      </w:r>
      <w:r>
        <w:rPr>
          <w:rFonts w:hint="default" w:ascii="Times New Roman" w:hAnsi="Times New Roman" w:cs="Times New Roman"/>
        </w:rPr>
        <w:fldChar w:fldCharType="separate"/>
      </w:r>
      <w:r>
        <w:rPr>
          <w:rFonts w:hint="default" w:ascii="Times New Roman" w:hAnsi="Times New Roman" w:cs="Times New Roman"/>
        </w:rPr>
        <w:t>16.5  数据安全与合规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_Toc897634936 \h </w:instrText>
      </w:r>
      <w:r>
        <w:rPr>
          <w:rFonts w:hint="default" w:ascii="Times New Roman" w:hAnsi="Times New Roman" w:cs="Times New Roman"/>
        </w:rPr>
        <w:fldChar w:fldCharType="separate"/>
      </w:r>
      <w:r>
        <w:rPr>
          <w:rFonts w:hint="default" w:ascii="Times New Roman" w:hAnsi="Times New Roman" w:cs="Times New Roman"/>
        </w:rPr>
        <w:t>60</w:t>
      </w:r>
      <w:r>
        <w:rPr>
          <w:rFonts w:hint="default" w:ascii="Times New Roman" w:hAnsi="Times New Roman" w:cs="Times New Roman"/>
        </w:rPr>
        <w:fldChar w:fldCharType="end"/>
      </w:r>
      <w:r>
        <w:rPr>
          <w:rFonts w:hint="default" w:ascii="Times New Roman" w:hAnsi="Times New Roman" w:cs="Times New Roman"/>
        </w:rPr>
        <w:fldChar w:fldCharType="end"/>
      </w:r>
    </w:p>
    <w:p w14:paraId="1A11325A">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_Toc1028200497 </w:instrText>
      </w:r>
      <w:r>
        <w:rPr>
          <w:rFonts w:hint="default" w:ascii="Times New Roman" w:hAnsi="Times New Roman" w:cs="Times New Roman"/>
        </w:rPr>
        <w:fldChar w:fldCharType="separate"/>
      </w:r>
      <w:r>
        <w:rPr>
          <w:rFonts w:hint="default" w:ascii="Times New Roman" w:hAnsi="Times New Roman" w:cs="Times New Roman"/>
          <w:szCs w:val="28"/>
        </w:rPr>
        <w:t>本标准用词说明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_Toc1028200497 \h </w:instrText>
      </w:r>
      <w:r>
        <w:rPr>
          <w:rFonts w:hint="default" w:ascii="Times New Roman" w:hAnsi="Times New Roman" w:cs="Times New Roman"/>
        </w:rPr>
        <w:fldChar w:fldCharType="separate"/>
      </w:r>
      <w:r>
        <w:rPr>
          <w:rFonts w:hint="default" w:ascii="Times New Roman" w:hAnsi="Times New Roman" w:cs="Times New Roman"/>
        </w:rPr>
        <w:t>61</w:t>
      </w:r>
      <w:r>
        <w:rPr>
          <w:rFonts w:hint="default" w:ascii="Times New Roman" w:hAnsi="Times New Roman" w:cs="Times New Roman"/>
        </w:rPr>
        <w:fldChar w:fldCharType="end"/>
      </w:r>
      <w:r>
        <w:rPr>
          <w:rFonts w:hint="default" w:ascii="Times New Roman" w:hAnsi="Times New Roman" w:cs="Times New Roman"/>
        </w:rPr>
        <w:fldChar w:fldCharType="end"/>
      </w:r>
    </w:p>
    <w:p w14:paraId="54F679A5">
      <w:pPr>
        <w:pStyle w:val="1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_Toc1892131196 </w:instrText>
      </w:r>
      <w:r>
        <w:rPr>
          <w:rFonts w:hint="default" w:ascii="Times New Roman" w:hAnsi="Times New Roman" w:cs="Times New Roman"/>
        </w:rPr>
        <w:fldChar w:fldCharType="separate"/>
      </w:r>
      <w:r>
        <w:rPr>
          <w:rFonts w:hint="eastAsia" w:cs="Times New Roman"/>
          <w:szCs w:val="32"/>
          <w:lang w:eastAsia="zh-CN"/>
        </w:rPr>
        <w:t>条文</w:t>
      </w:r>
      <w:r>
        <w:rPr>
          <w:rFonts w:hint="default" w:ascii="Times New Roman" w:hAnsi="Times New Roman" w:cs="Times New Roman"/>
          <w:szCs w:val="32"/>
        </w:rPr>
        <w:t>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_Toc1892131196 \h </w:instrText>
      </w:r>
      <w:r>
        <w:rPr>
          <w:rFonts w:hint="default" w:ascii="Times New Roman" w:hAnsi="Times New Roman" w:cs="Times New Roman"/>
        </w:rPr>
        <w:fldChar w:fldCharType="separate"/>
      </w:r>
      <w:r>
        <w:rPr>
          <w:rFonts w:hint="default" w:ascii="Times New Roman" w:hAnsi="Times New Roman" w:cs="Times New Roman"/>
        </w:rPr>
        <w:t>6</w:t>
      </w:r>
      <w:r>
        <w:rPr>
          <w:rFonts w:hint="eastAsia"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35A41724">
      <w:pPr>
        <w:snapToGrid w:val="0"/>
        <w:spacing w:line="312" w:lineRule="auto"/>
        <w:rPr>
          <w:rFonts w:ascii="Times New Roman" w:hAnsi="Times New Roman"/>
        </w:rPr>
      </w:pPr>
      <w:r>
        <w:rPr>
          <w:rFonts w:ascii="Times New Roman" w:hAnsi="Times New Roman"/>
        </w:rPr>
        <w:fldChar w:fldCharType="end"/>
      </w:r>
    </w:p>
    <w:p w14:paraId="7318841C">
      <w:pPr>
        <w:pStyle w:val="30"/>
        <w:spacing w:before="312" w:beforeLines="100" w:after="312" w:afterLines="100" w:line="360" w:lineRule="auto"/>
        <w:jc w:val="center"/>
        <w:outlineLvl w:val="0"/>
        <w:rPr>
          <w:rFonts w:ascii="Times New Roman" w:hAnsi="Times New Roman"/>
          <w:color w:val="000000"/>
        </w:rPr>
      </w:pPr>
      <w:r>
        <w:rPr>
          <w:rFonts w:ascii="Times New Roman" w:hAnsi="Times New Roman"/>
        </w:rPr>
        <w:br w:type="page"/>
      </w:r>
      <w:bookmarkStart w:id="1" w:name="_Toc1547372972"/>
      <w:bookmarkStart w:id="2" w:name="_Toc1597610530"/>
      <w:bookmarkStart w:id="3" w:name="_Toc1566586835"/>
      <w:bookmarkStart w:id="4" w:name="_Toc873183603"/>
      <w:bookmarkStart w:id="5" w:name="_Toc1331850069"/>
      <w:bookmarkStart w:id="6" w:name="_Toc578924846"/>
      <w:bookmarkStart w:id="7" w:name="_Toc244589877"/>
      <w:bookmarkStart w:id="8" w:name="_Toc1624119398"/>
      <w:bookmarkStart w:id="9" w:name="_Toc2045647841"/>
      <w:r>
        <w:rPr>
          <w:rFonts w:ascii="Times New Roman" w:hAnsi="Times New Roman"/>
          <w:color w:val="000000"/>
        </w:rPr>
        <w:t>Contents</w:t>
      </w:r>
      <w:bookmarkEnd w:id="1"/>
      <w:bookmarkEnd w:id="2"/>
      <w:bookmarkEnd w:id="3"/>
      <w:bookmarkEnd w:id="4"/>
      <w:bookmarkEnd w:id="5"/>
      <w:bookmarkEnd w:id="6"/>
      <w:bookmarkEnd w:id="7"/>
      <w:bookmarkEnd w:id="8"/>
      <w:bookmarkEnd w:id="9"/>
    </w:p>
    <w:p w14:paraId="47BDAF24">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General provisions</w:t>
      </w:r>
      <w:r>
        <w:rPr>
          <w:rFonts w:hint="eastAsia" w:ascii="Times New Roman" w:hAnsi="Times New Roman"/>
          <w:lang w:val="en-US" w:eastAsia="zh-CN"/>
        </w:rPr>
        <w:tab/>
      </w:r>
      <w:r>
        <w:rPr>
          <w:rFonts w:hint="eastAsia" w:ascii="Times New Roman" w:hAnsi="Times New Roman"/>
        </w:rPr>
        <w:t>1</w:t>
      </w:r>
    </w:p>
    <w:p w14:paraId="5090DE39">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1</w:t>
      </w:r>
      <w:r>
        <w:rPr>
          <w:rFonts w:hint="eastAsia" w:ascii="Times New Roman" w:hAnsi="Times New Roman"/>
          <w:lang w:val="en-US" w:eastAsia="zh-CN"/>
        </w:rPr>
        <w:t xml:space="preserve"> </w:t>
      </w:r>
      <w:r>
        <w:rPr>
          <w:rFonts w:hint="eastAsia" w:ascii="Times New Roman" w:hAnsi="Times New Roman"/>
        </w:rPr>
        <w:t>General principles</w:t>
      </w:r>
      <w:r>
        <w:rPr>
          <w:rFonts w:hint="eastAsia" w:ascii="Times New Roman" w:hAnsi="Times New Roman"/>
          <w:lang w:val="en-US" w:eastAsia="zh-CN"/>
        </w:rPr>
        <w:tab/>
      </w:r>
      <w:r>
        <w:rPr>
          <w:rFonts w:hint="eastAsia" w:ascii="Times New Roman" w:hAnsi="Times New Roman"/>
        </w:rPr>
        <w:t>1</w:t>
      </w:r>
    </w:p>
    <w:p w14:paraId="446EAE61">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2 Terms and reference standards</w:t>
      </w:r>
      <w:r>
        <w:rPr>
          <w:rFonts w:hint="eastAsia" w:ascii="Times New Roman" w:hAnsi="Times New Roman"/>
          <w:lang w:val="en-US" w:eastAsia="zh-CN"/>
        </w:rPr>
        <w:tab/>
      </w:r>
      <w:r>
        <w:rPr>
          <w:rFonts w:hint="eastAsia" w:ascii="Times New Roman" w:hAnsi="Times New Roman"/>
        </w:rPr>
        <w:t>2</w:t>
      </w:r>
    </w:p>
    <w:p w14:paraId="486C90A9">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2.1 Terms</w:t>
      </w:r>
      <w:r>
        <w:rPr>
          <w:rFonts w:hint="eastAsia" w:ascii="Times New Roman" w:hAnsi="Times New Roman"/>
          <w:lang w:val="en-US" w:eastAsia="zh-CN"/>
        </w:rPr>
        <w:tab/>
      </w:r>
      <w:r>
        <w:rPr>
          <w:rFonts w:hint="eastAsia" w:ascii="Times New Roman" w:hAnsi="Times New Roman"/>
        </w:rPr>
        <w:t>2</w:t>
      </w:r>
    </w:p>
    <w:p w14:paraId="2A5BB0E8">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2.2 Reference standards</w:t>
      </w:r>
      <w:r>
        <w:rPr>
          <w:rFonts w:hint="eastAsia" w:ascii="Times New Roman" w:hAnsi="Times New Roman"/>
          <w:lang w:val="en-US" w:eastAsia="zh-CN"/>
        </w:rPr>
        <w:tab/>
      </w:r>
      <w:r>
        <w:rPr>
          <w:rFonts w:hint="eastAsia" w:ascii="Times New Roman" w:hAnsi="Times New Roman"/>
        </w:rPr>
        <w:t>3</w:t>
      </w:r>
    </w:p>
    <w:p w14:paraId="448324BA">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3 Basic requirements</w:t>
      </w:r>
      <w:r>
        <w:rPr>
          <w:rFonts w:hint="eastAsia" w:ascii="Times New Roman" w:hAnsi="Times New Roman"/>
          <w:lang w:val="en-US" w:eastAsia="zh-CN"/>
        </w:rPr>
        <w:tab/>
      </w:r>
      <w:r>
        <w:rPr>
          <w:rFonts w:hint="eastAsia" w:ascii="Times New Roman" w:hAnsi="Times New Roman"/>
        </w:rPr>
        <w:t>4</w:t>
      </w:r>
    </w:p>
    <w:p w14:paraId="434907A9">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3.1 Basic principles</w:t>
      </w:r>
      <w:r>
        <w:rPr>
          <w:rFonts w:hint="eastAsia" w:ascii="Times New Roman" w:hAnsi="Times New Roman"/>
          <w:lang w:val="en-US" w:eastAsia="zh-CN"/>
        </w:rPr>
        <w:tab/>
      </w:r>
      <w:r>
        <w:rPr>
          <w:rFonts w:hint="eastAsia" w:ascii="Times New Roman" w:hAnsi="Times New Roman"/>
        </w:rPr>
        <w:t>4</w:t>
      </w:r>
    </w:p>
    <w:p w14:paraId="1AFDE1E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3.2 Management objectives</w:t>
      </w:r>
      <w:r>
        <w:rPr>
          <w:rFonts w:hint="eastAsia" w:ascii="Times New Roman" w:hAnsi="Times New Roman"/>
          <w:lang w:val="en-US" w:eastAsia="zh-CN"/>
        </w:rPr>
        <w:tab/>
      </w:r>
      <w:r>
        <w:rPr>
          <w:rFonts w:hint="eastAsia" w:ascii="Times New Roman" w:hAnsi="Times New Roman"/>
        </w:rPr>
        <w:t>4</w:t>
      </w:r>
    </w:p>
    <w:p w14:paraId="69333E6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3.3 Management basis</w:t>
      </w:r>
      <w:r>
        <w:rPr>
          <w:rFonts w:hint="eastAsia" w:ascii="Times New Roman" w:hAnsi="Times New Roman"/>
          <w:lang w:val="en-US" w:eastAsia="zh-CN"/>
        </w:rPr>
        <w:tab/>
      </w:r>
      <w:r>
        <w:rPr>
          <w:rFonts w:hint="eastAsia" w:ascii="Times New Roman" w:hAnsi="Times New Roman"/>
        </w:rPr>
        <w:t>4</w:t>
      </w:r>
    </w:p>
    <w:p w14:paraId="6F403D85">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3.4 Responsibilities of all parties</w:t>
      </w:r>
      <w:r>
        <w:rPr>
          <w:rFonts w:hint="eastAsia" w:ascii="Times New Roman" w:hAnsi="Times New Roman"/>
          <w:lang w:val="en-US" w:eastAsia="zh-CN"/>
        </w:rPr>
        <w:tab/>
      </w:r>
      <w:r>
        <w:rPr>
          <w:rFonts w:hint="eastAsia" w:ascii="Times New Roman" w:hAnsi="Times New Roman"/>
        </w:rPr>
        <w:t>5</w:t>
      </w:r>
    </w:p>
    <w:p w14:paraId="777E731E">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3.5 Management procedures</w:t>
      </w:r>
      <w:r>
        <w:rPr>
          <w:rFonts w:hint="eastAsia" w:ascii="Times New Roman" w:hAnsi="Times New Roman"/>
          <w:lang w:val="en-US" w:eastAsia="zh-CN"/>
        </w:rPr>
        <w:tab/>
      </w:r>
      <w:r>
        <w:rPr>
          <w:rFonts w:hint="eastAsia" w:ascii="Times New Roman" w:hAnsi="Times New Roman"/>
        </w:rPr>
        <w:t>6</w:t>
      </w:r>
    </w:p>
    <w:p w14:paraId="4D6600C8">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4 Contract conclusion and performance preparation management</w:t>
      </w:r>
      <w:r>
        <w:rPr>
          <w:rFonts w:hint="eastAsia" w:ascii="Times New Roman" w:hAnsi="Times New Roman"/>
          <w:lang w:val="en-US" w:eastAsia="zh-CN"/>
        </w:rPr>
        <w:tab/>
      </w:r>
      <w:r>
        <w:rPr>
          <w:rFonts w:hint="eastAsia" w:ascii="Times New Roman" w:hAnsi="Times New Roman"/>
        </w:rPr>
        <w:t>8</w:t>
      </w:r>
    </w:p>
    <w:p w14:paraId="05757DDD">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4.1 General requirements</w:t>
      </w:r>
      <w:r>
        <w:rPr>
          <w:rFonts w:hint="eastAsia" w:ascii="Times New Roman" w:hAnsi="Times New Roman"/>
          <w:lang w:val="en-US" w:eastAsia="zh-CN"/>
        </w:rPr>
        <w:tab/>
      </w:r>
      <w:r>
        <w:rPr>
          <w:rFonts w:hint="eastAsia" w:ascii="Times New Roman" w:hAnsi="Times New Roman"/>
        </w:rPr>
        <w:t>8</w:t>
      </w:r>
    </w:p>
    <w:p w14:paraId="06950010">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4.2 Contract conclusion</w:t>
      </w:r>
      <w:r>
        <w:rPr>
          <w:rFonts w:hint="eastAsia" w:ascii="Times New Roman" w:hAnsi="Times New Roman"/>
          <w:lang w:val="en-US" w:eastAsia="zh-CN"/>
        </w:rPr>
        <w:tab/>
      </w:r>
      <w:r>
        <w:rPr>
          <w:rFonts w:hint="eastAsia" w:ascii="Times New Roman" w:hAnsi="Times New Roman"/>
        </w:rPr>
        <w:t>8</w:t>
      </w:r>
    </w:p>
    <w:p w14:paraId="213EC5BA">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4.3 Contract filing, publicity and archiving</w:t>
      </w:r>
      <w:r>
        <w:rPr>
          <w:rFonts w:hint="eastAsia" w:ascii="Times New Roman" w:hAnsi="Times New Roman"/>
          <w:lang w:val="en-US" w:eastAsia="zh-CN"/>
        </w:rPr>
        <w:tab/>
      </w:r>
      <w:r>
        <w:rPr>
          <w:rFonts w:hint="eastAsia" w:ascii="Times New Roman" w:hAnsi="Times New Roman"/>
        </w:rPr>
        <w:t>10</w:t>
      </w:r>
    </w:p>
    <w:p w14:paraId="03A4754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4.4 Contract clarification</w:t>
      </w:r>
      <w:r>
        <w:rPr>
          <w:rFonts w:hint="eastAsia" w:ascii="Times New Roman" w:hAnsi="Times New Roman"/>
          <w:lang w:val="en-US" w:eastAsia="zh-CN"/>
        </w:rPr>
        <w:tab/>
      </w:r>
      <w:r>
        <w:rPr>
          <w:rFonts w:hint="eastAsia" w:ascii="Times New Roman" w:hAnsi="Times New Roman"/>
        </w:rPr>
        <w:t>10</w:t>
      </w:r>
    </w:p>
    <w:p w14:paraId="6D867983">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4.5 Refund of bid security</w:t>
      </w:r>
      <w:r>
        <w:rPr>
          <w:rFonts w:hint="eastAsia" w:ascii="Times New Roman" w:hAnsi="Times New Roman"/>
          <w:lang w:val="en-US" w:eastAsia="zh-CN"/>
        </w:rPr>
        <w:tab/>
      </w:r>
      <w:r>
        <w:rPr>
          <w:rFonts w:hint="eastAsia" w:ascii="Times New Roman" w:hAnsi="Times New Roman"/>
        </w:rPr>
        <w:t>13</w:t>
      </w:r>
    </w:p>
    <w:p w14:paraId="6F233388">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4.6 Performance security</w:t>
      </w:r>
      <w:r>
        <w:rPr>
          <w:rFonts w:hint="eastAsia" w:ascii="Times New Roman" w:hAnsi="Times New Roman"/>
          <w:lang w:val="en-US" w:eastAsia="zh-CN"/>
        </w:rPr>
        <w:tab/>
      </w:r>
      <w:r>
        <w:rPr>
          <w:rFonts w:hint="eastAsia" w:ascii="Times New Roman" w:hAnsi="Times New Roman"/>
        </w:rPr>
        <w:t>13</w:t>
      </w:r>
    </w:p>
    <w:p w14:paraId="5B767A79">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4.7 Insurance</w:t>
      </w:r>
      <w:r>
        <w:rPr>
          <w:rFonts w:hint="eastAsia" w:ascii="Times New Roman" w:hAnsi="Times New Roman"/>
          <w:lang w:val="en-US" w:eastAsia="zh-CN"/>
        </w:rPr>
        <w:tab/>
      </w:r>
      <w:r>
        <w:rPr>
          <w:rFonts w:hint="eastAsia" w:ascii="Times New Roman" w:hAnsi="Times New Roman"/>
        </w:rPr>
        <w:t>14</w:t>
      </w:r>
    </w:p>
    <w:p w14:paraId="62D03B5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4.8 Preliminary preparations</w:t>
      </w:r>
      <w:r>
        <w:rPr>
          <w:rFonts w:hint="eastAsia" w:ascii="Times New Roman" w:hAnsi="Times New Roman"/>
          <w:lang w:val="en-US" w:eastAsia="zh-CN"/>
        </w:rPr>
        <w:tab/>
      </w:r>
      <w:r>
        <w:rPr>
          <w:rFonts w:hint="eastAsia" w:ascii="Times New Roman" w:hAnsi="Times New Roman"/>
        </w:rPr>
        <w:t>14</w:t>
      </w:r>
    </w:p>
    <w:p w14:paraId="2846B302">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5 Risk management</w:t>
      </w:r>
      <w:r>
        <w:rPr>
          <w:rFonts w:hint="eastAsia" w:ascii="Times New Roman" w:hAnsi="Times New Roman"/>
          <w:lang w:val="en-US" w:eastAsia="zh-CN"/>
        </w:rPr>
        <w:tab/>
      </w:r>
      <w:r>
        <w:rPr>
          <w:rFonts w:hint="eastAsia" w:ascii="Times New Roman" w:hAnsi="Times New Roman"/>
        </w:rPr>
        <w:t>16</w:t>
      </w:r>
    </w:p>
    <w:p w14:paraId="2BD0D0D3">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5.1 General requirements</w:t>
      </w:r>
      <w:r>
        <w:rPr>
          <w:rFonts w:hint="eastAsia" w:ascii="Times New Roman" w:hAnsi="Times New Roman"/>
          <w:lang w:val="en-US" w:eastAsia="zh-CN"/>
        </w:rPr>
        <w:tab/>
      </w:r>
      <w:r>
        <w:rPr>
          <w:rFonts w:hint="eastAsia" w:ascii="Times New Roman" w:hAnsi="Times New Roman"/>
        </w:rPr>
        <w:t>16</w:t>
      </w:r>
    </w:p>
    <w:p w14:paraId="2E79C41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5.2 Risk identification</w:t>
      </w:r>
      <w:r>
        <w:rPr>
          <w:rFonts w:hint="eastAsia" w:ascii="Times New Roman" w:hAnsi="Times New Roman"/>
          <w:lang w:val="en-US" w:eastAsia="zh-CN"/>
        </w:rPr>
        <w:tab/>
      </w:r>
      <w:r>
        <w:rPr>
          <w:rFonts w:hint="eastAsia" w:ascii="Times New Roman" w:hAnsi="Times New Roman"/>
        </w:rPr>
        <w:t>16</w:t>
      </w:r>
    </w:p>
    <w:p w14:paraId="5D71CC5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5.3 Risk prevention</w:t>
      </w:r>
      <w:r>
        <w:rPr>
          <w:rFonts w:hint="eastAsia" w:ascii="Times New Roman" w:hAnsi="Times New Roman"/>
          <w:lang w:val="en-US" w:eastAsia="zh-CN"/>
        </w:rPr>
        <w:tab/>
      </w:r>
      <w:r>
        <w:rPr>
          <w:rFonts w:hint="eastAsia" w:ascii="Times New Roman" w:hAnsi="Times New Roman"/>
        </w:rPr>
        <w:t>20</w:t>
      </w:r>
    </w:p>
    <w:p w14:paraId="790AD6DE">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5.4 Risk response</w:t>
      </w:r>
      <w:r>
        <w:rPr>
          <w:rFonts w:hint="eastAsia" w:ascii="Times New Roman" w:hAnsi="Times New Roman"/>
          <w:lang w:val="en-US" w:eastAsia="zh-CN"/>
        </w:rPr>
        <w:tab/>
      </w:r>
      <w:r>
        <w:rPr>
          <w:rFonts w:hint="eastAsia" w:ascii="Times New Roman" w:hAnsi="Times New Roman"/>
        </w:rPr>
        <w:t>21</w:t>
      </w:r>
    </w:p>
    <w:p w14:paraId="70DE0503">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6 Resource management</w:t>
      </w:r>
      <w:r>
        <w:rPr>
          <w:rFonts w:hint="eastAsia" w:ascii="Times New Roman" w:hAnsi="Times New Roman"/>
          <w:lang w:val="en-US" w:eastAsia="zh-CN"/>
        </w:rPr>
        <w:tab/>
      </w:r>
      <w:r>
        <w:rPr>
          <w:rFonts w:hint="eastAsia" w:ascii="Times New Roman" w:hAnsi="Times New Roman"/>
        </w:rPr>
        <w:t>22</w:t>
      </w:r>
    </w:p>
    <w:p w14:paraId="2BF35F89">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6.1 General requirements</w:t>
      </w:r>
      <w:r>
        <w:rPr>
          <w:rFonts w:hint="eastAsia" w:ascii="Times New Roman" w:hAnsi="Times New Roman"/>
          <w:lang w:val="en-US" w:eastAsia="zh-CN"/>
        </w:rPr>
        <w:tab/>
      </w:r>
      <w:r>
        <w:rPr>
          <w:rFonts w:hint="eastAsia" w:ascii="Times New Roman" w:hAnsi="Times New Roman"/>
        </w:rPr>
        <w:t>22</w:t>
      </w:r>
    </w:p>
    <w:p w14:paraId="115FD8CE">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6.2 Human resource management</w:t>
      </w:r>
      <w:r>
        <w:rPr>
          <w:rFonts w:hint="eastAsia" w:ascii="Times New Roman" w:hAnsi="Times New Roman"/>
          <w:lang w:val="en-US" w:eastAsia="zh-CN"/>
        </w:rPr>
        <w:tab/>
      </w:r>
      <w:r>
        <w:rPr>
          <w:rFonts w:hint="eastAsia" w:ascii="Times New Roman" w:hAnsi="Times New Roman"/>
        </w:rPr>
        <w:t>22</w:t>
      </w:r>
    </w:p>
    <w:p w14:paraId="5CA19DF4">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6.3 Technical resource management</w:t>
      </w:r>
      <w:r>
        <w:rPr>
          <w:rFonts w:hint="eastAsia" w:ascii="Times New Roman" w:hAnsi="Times New Roman"/>
          <w:lang w:val="en-US" w:eastAsia="zh-CN"/>
        </w:rPr>
        <w:tab/>
      </w:r>
      <w:r>
        <w:rPr>
          <w:rFonts w:hint="eastAsia" w:ascii="Times New Roman" w:hAnsi="Times New Roman"/>
        </w:rPr>
        <w:t>23</w:t>
      </w:r>
    </w:p>
    <w:p w14:paraId="16FBA832">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6.4 Material management</w:t>
      </w:r>
      <w:r>
        <w:rPr>
          <w:rFonts w:hint="eastAsia" w:ascii="Times New Roman" w:hAnsi="Times New Roman"/>
          <w:lang w:val="en-US" w:eastAsia="zh-CN"/>
        </w:rPr>
        <w:tab/>
      </w:r>
      <w:r>
        <w:rPr>
          <w:rFonts w:hint="eastAsia" w:ascii="Times New Roman" w:hAnsi="Times New Roman"/>
        </w:rPr>
        <w:t>23</w:t>
      </w:r>
    </w:p>
    <w:p w14:paraId="426BC764">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6.5 Inspection and correction of resource input</w:t>
      </w:r>
      <w:r>
        <w:rPr>
          <w:rFonts w:hint="eastAsia" w:ascii="Times New Roman" w:hAnsi="Times New Roman"/>
          <w:lang w:val="en-US" w:eastAsia="zh-CN"/>
        </w:rPr>
        <w:tab/>
      </w:r>
      <w:r>
        <w:rPr>
          <w:rFonts w:hint="eastAsia" w:ascii="Times New Roman" w:hAnsi="Times New Roman"/>
        </w:rPr>
        <w:t>23</w:t>
      </w:r>
    </w:p>
    <w:p w14:paraId="0F641810">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6.6 Labour management for construction projects</w:t>
      </w:r>
      <w:r>
        <w:rPr>
          <w:rFonts w:hint="eastAsia" w:ascii="Times New Roman" w:hAnsi="Times New Roman"/>
          <w:lang w:val="en-US" w:eastAsia="zh-CN"/>
        </w:rPr>
        <w:tab/>
      </w:r>
      <w:r>
        <w:rPr>
          <w:rFonts w:hint="eastAsia" w:ascii="Times New Roman" w:hAnsi="Times New Roman"/>
        </w:rPr>
        <w:t>24</w:t>
      </w:r>
    </w:p>
    <w:p w14:paraId="79F9B74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6.7 Subcontracting management for construction projects</w:t>
      </w:r>
      <w:r>
        <w:rPr>
          <w:rFonts w:hint="eastAsia" w:ascii="Times New Roman" w:hAnsi="Times New Roman"/>
          <w:lang w:val="en-US" w:eastAsia="zh-CN"/>
        </w:rPr>
        <w:tab/>
      </w:r>
      <w:r>
        <w:rPr>
          <w:rFonts w:hint="eastAsia" w:ascii="Times New Roman" w:hAnsi="Times New Roman"/>
        </w:rPr>
        <w:t>24</w:t>
      </w:r>
    </w:p>
    <w:p w14:paraId="5F35D810">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7 Schedule management</w:t>
      </w:r>
      <w:r>
        <w:rPr>
          <w:rFonts w:hint="eastAsia" w:ascii="Times New Roman" w:hAnsi="Times New Roman"/>
          <w:lang w:val="en-US" w:eastAsia="zh-CN"/>
        </w:rPr>
        <w:tab/>
      </w:r>
      <w:r>
        <w:rPr>
          <w:rFonts w:hint="eastAsia" w:ascii="Times New Roman" w:hAnsi="Times New Roman"/>
        </w:rPr>
        <w:t>26</w:t>
      </w:r>
    </w:p>
    <w:p w14:paraId="402EBF71">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7.1 General requirements</w:t>
      </w:r>
      <w:r>
        <w:rPr>
          <w:rFonts w:hint="eastAsia" w:ascii="Times New Roman" w:hAnsi="Times New Roman"/>
          <w:lang w:val="en-US" w:eastAsia="zh-CN"/>
        </w:rPr>
        <w:tab/>
      </w:r>
      <w:r>
        <w:rPr>
          <w:rFonts w:hint="eastAsia" w:ascii="Times New Roman" w:hAnsi="Times New Roman"/>
        </w:rPr>
        <w:t>26</w:t>
      </w:r>
    </w:p>
    <w:p w14:paraId="7D8B8E51">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7.2 Preparation and confirmation of schedule</w:t>
      </w:r>
      <w:r>
        <w:rPr>
          <w:rFonts w:hint="eastAsia" w:ascii="Times New Roman" w:hAnsi="Times New Roman"/>
          <w:lang w:val="en-US" w:eastAsia="zh-CN"/>
        </w:rPr>
        <w:tab/>
      </w:r>
      <w:r>
        <w:rPr>
          <w:rFonts w:hint="eastAsia" w:ascii="Times New Roman" w:hAnsi="Times New Roman"/>
        </w:rPr>
        <w:t>26</w:t>
      </w:r>
    </w:p>
    <w:p w14:paraId="1AC0123A">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7.3 Schedule monitoring and inspection</w:t>
      </w:r>
      <w:r>
        <w:rPr>
          <w:rFonts w:hint="eastAsia" w:ascii="Times New Roman" w:hAnsi="Times New Roman"/>
          <w:lang w:val="en-US" w:eastAsia="zh-CN"/>
        </w:rPr>
        <w:tab/>
      </w:r>
      <w:r>
        <w:rPr>
          <w:rFonts w:hint="eastAsia" w:ascii="Times New Roman" w:hAnsi="Times New Roman"/>
        </w:rPr>
        <w:t>27</w:t>
      </w:r>
    </w:p>
    <w:p w14:paraId="08A7119A">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7.4 Identification and handling of schedule deviations</w:t>
      </w:r>
      <w:r>
        <w:rPr>
          <w:rFonts w:hint="eastAsia" w:ascii="Times New Roman" w:hAnsi="Times New Roman"/>
          <w:lang w:val="en-US" w:eastAsia="zh-CN"/>
        </w:rPr>
        <w:tab/>
      </w:r>
      <w:r>
        <w:rPr>
          <w:rFonts w:hint="eastAsia" w:ascii="Times New Roman" w:hAnsi="Times New Roman"/>
        </w:rPr>
        <w:t>27</w:t>
      </w:r>
    </w:p>
    <w:p w14:paraId="79293A3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7.5 Schedule adjustment</w:t>
      </w:r>
      <w:r>
        <w:rPr>
          <w:rFonts w:hint="eastAsia" w:ascii="Times New Roman" w:hAnsi="Times New Roman"/>
          <w:lang w:val="en-US" w:eastAsia="zh-CN"/>
        </w:rPr>
        <w:tab/>
      </w:r>
      <w:r>
        <w:rPr>
          <w:rFonts w:hint="eastAsia" w:ascii="Times New Roman" w:hAnsi="Times New Roman"/>
        </w:rPr>
        <w:t>28</w:t>
      </w:r>
    </w:p>
    <w:p w14:paraId="313CAD24">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7.6 Recording and archiving</w:t>
      </w:r>
      <w:r>
        <w:rPr>
          <w:rFonts w:hint="eastAsia" w:ascii="Times New Roman" w:hAnsi="Times New Roman"/>
          <w:lang w:val="en-US" w:eastAsia="zh-CN"/>
        </w:rPr>
        <w:tab/>
      </w:r>
      <w:r>
        <w:rPr>
          <w:rFonts w:hint="eastAsia" w:ascii="Times New Roman" w:hAnsi="Times New Roman"/>
        </w:rPr>
        <w:t>28</w:t>
      </w:r>
    </w:p>
    <w:p w14:paraId="5C5FE43E">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8 Quality management</w:t>
      </w:r>
      <w:r>
        <w:rPr>
          <w:rFonts w:hint="eastAsia" w:ascii="Times New Roman" w:hAnsi="Times New Roman"/>
          <w:lang w:val="en-US" w:eastAsia="zh-CN"/>
        </w:rPr>
        <w:tab/>
      </w:r>
      <w:r>
        <w:rPr>
          <w:rFonts w:hint="eastAsia" w:ascii="Times New Roman" w:hAnsi="Times New Roman"/>
        </w:rPr>
        <w:t>29</w:t>
      </w:r>
    </w:p>
    <w:p w14:paraId="15CF674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8.1 General requirements</w:t>
      </w:r>
      <w:r>
        <w:rPr>
          <w:rFonts w:hint="eastAsia" w:ascii="Times New Roman" w:hAnsi="Times New Roman"/>
          <w:lang w:val="en-US" w:eastAsia="zh-CN"/>
        </w:rPr>
        <w:tab/>
      </w:r>
      <w:r>
        <w:rPr>
          <w:rFonts w:hint="eastAsia" w:ascii="Times New Roman" w:hAnsi="Times New Roman"/>
        </w:rPr>
        <w:t>29</w:t>
      </w:r>
    </w:p>
    <w:p w14:paraId="1AE6B5D8">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8.2 Establishment and review of quality management system</w:t>
      </w:r>
      <w:r>
        <w:rPr>
          <w:rFonts w:hint="eastAsia" w:ascii="Times New Roman" w:hAnsi="Times New Roman"/>
          <w:lang w:val="en-US" w:eastAsia="zh-CN"/>
        </w:rPr>
        <w:tab/>
      </w:r>
      <w:r>
        <w:rPr>
          <w:rFonts w:hint="eastAsia" w:ascii="Times New Roman" w:hAnsi="Times New Roman"/>
        </w:rPr>
        <w:t>29</w:t>
      </w:r>
    </w:p>
    <w:p w14:paraId="1D9BDEE4">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8.3 Determination of quality objectives and standards</w:t>
      </w:r>
      <w:r>
        <w:rPr>
          <w:rFonts w:hint="eastAsia" w:ascii="Times New Roman" w:hAnsi="Times New Roman"/>
          <w:lang w:val="en-US" w:eastAsia="zh-CN"/>
        </w:rPr>
        <w:tab/>
      </w:r>
      <w:r>
        <w:rPr>
          <w:rFonts w:hint="eastAsia" w:ascii="Times New Roman" w:hAnsi="Times New Roman"/>
        </w:rPr>
        <w:t>29</w:t>
      </w:r>
    </w:p>
    <w:p w14:paraId="4C26CA3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8.4 Process quality inspection</w:t>
      </w:r>
      <w:r>
        <w:rPr>
          <w:rFonts w:hint="eastAsia" w:ascii="Times New Roman" w:hAnsi="Times New Roman"/>
          <w:lang w:val="en-US" w:eastAsia="zh-CN"/>
        </w:rPr>
        <w:tab/>
      </w:r>
      <w:r>
        <w:rPr>
          <w:rFonts w:hint="eastAsia" w:ascii="Times New Roman" w:hAnsi="Times New Roman"/>
        </w:rPr>
        <w:t>29</w:t>
      </w:r>
    </w:p>
    <w:p w14:paraId="458845A8">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8.5 Handling of quality issues and deviations</w:t>
      </w:r>
      <w:r>
        <w:rPr>
          <w:rFonts w:hint="eastAsia" w:ascii="Times New Roman" w:hAnsi="Times New Roman"/>
          <w:lang w:val="en-US" w:eastAsia="zh-CN"/>
        </w:rPr>
        <w:tab/>
      </w:r>
      <w:r>
        <w:rPr>
          <w:rFonts w:hint="eastAsia" w:ascii="Times New Roman" w:hAnsi="Times New Roman"/>
        </w:rPr>
        <w:t>30</w:t>
      </w:r>
    </w:p>
    <w:p w14:paraId="4207505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8.6 Liability attribution and handling for quality issues</w:t>
      </w:r>
      <w:r>
        <w:rPr>
          <w:rFonts w:hint="eastAsia" w:ascii="Times New Roman" w:hAnsi="Times New Roman"/>
          <w:lang w:val="en-US" w:eastAsia="zh-CN"/>
        </w:rPr>
        <w:tab/>
      </w:r>
      <w:r>
        <w:rPr>
          <w:rFonts w:hint="eastAsia" w:ascii="Times New Roman" w:hAnsi="Times New Roman"/>
        </w:rPr>
        <w:t>31</w:t>
      </w:r>
    </w:p>
    <w:p w14:paraId="4976FEBE">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8.7 Quality inspection prior to deliverable submission</w:t>
      </w:r>
      <w:r>
        <w:rPr>
          <w:rFonts w:hint="eastAsia" w:ascii="Times New Roman" w:hAnsi="Times New Roman"/>
          <w:lang w:val="en-US" w:eastAsia="zh-CN"/>
        </w:rPr>
        <w:tab/>
      </w:r>
      <w:r>
        <w:rPr>
          <w:rFonts w:hint="eastAsia" w:ascii="Times New Roman" w:hAnsi="Times New Roman"/>
        </w:rPr>
        <w:t>31</w:t>
      </w:r>
    </w:p>
    <w:p w14:paraId="3A0C486C">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9 Safety and environmental management</w:t>
      </w:r>
      <w:r>
        <w:rPr>
          <w:rFonts w:hint="eastAsia" w:ascii="Times New Roman" w:hAnsi="Times New Roman"/>
          <w:lang w:val="en-US" w:eastAsia="zh-CN"/>
        </w:rPr>
        <w:tab/>
      </w:r>
      <w:r>
        <w:rPr>
          <w:rFonts w:hint="eastAsia" w:ascii="Times New Roman" w:hAnsi="Times New Roman"/>
        </w:rPr>
        <w:t>32</w:t>
      </w:r>
    </w:p>
    <w:p w14:paraId="142B2143">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9.1 General requirements</w:t>
      </w:r>
      <w:r>
        <w:rPr>
          <w:rFonts w:hint="eastAsia" w:ascii="Times New Roman" w:hAnsi="Times New Roman"/>
          <w:lang w:val="en-US" w:eastAsia="zh-CN"/>
        </w:rPr>
        <w:tab/>
      </w:r>
      <w:r>
        <w:rPr>
          <w:rFonts w:hint="eastAsia" w:ascii="Times New Roman" w:hAnsi="Times New Roman"/>
        </w:rPr>
        <w:t>32</w:t>
      </w:r>
    </w:p>
    <w:p w14:paraId="0EF0F1F6">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9.2 Establishment of safety responsibility system</w:t>
      </w:r>
      <w:r>
        <w:rPr>
          <w:rFonts w:hint="eastAsia" w:ascii="Times New Roman" w:hAnsi="Times New Roman"/>
          <w:lang w:val="en-US" w:eastAsia="zh-CN"/>
        </w:rPr>
        <w:tab/>
      </w:r>
      <w:r>
        <w:rPr>
          <w:rFonts w:hint="eastAsia" w:ascii="Times New Roman" w:hAnsi="Times New Roman"/>
        </w:rPr>
        <w:t>32</w:t>
      </w:r>
    </w:p>
    <w:p w14:paraId="6047585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9.3 Safety inspection</w:t>
      </w:r>
      <w:r>
        <w:rPr>
          <w:rFonts w:hint="eastAsia" w:ascii="Times New Roman" w:hAnsi="Times New Roman"/>
          <w:lang w:val="en-US" w:eastAsia="zh-CN"/>
        </w:rPr>
        <w:tab/>
      </w:r>
      <w:r>
        <w:rPr>
          <w:rFonts w:hint="eastAsia" w:ascii="Times New Roman" w:hAnsi="Times New Roman"/>
        </w:rPr>
        <w:t>32</w:t>
      </w:r>
    </w:p>
    <w:p w14:paraId="5F6B1831">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9.4 Identification and closed‑loop rectification of safety hazards</w:t>
      </w:r>
      <w:r>
        <w:rPr>
          <w:rFonts w:hint="eastAsia" w:ascii="Times New Roman" w:hAnsi="Times New Roman"/>
          <w:lang w:val="en-US" w:eastAsia="zh-CN"/>
        </w:rPr>
        <w:tab/>
      </w:r>
      <w:r>
        <w:rPr>
          <w:rFonts w:hint="eastAsia" w:ascii="Times New Roman" w:hAnsi="Times New Roman"/>
        </w:rPr>
        <w:t>32</w:t>
      </w:r>
    </w:p>
    <w:p w14:paraId="2891D19D">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9.5 Emergency management</w:t>
      </w:r>
      <w:r>
        <w:rPr>
          <w:rFonts w:hint="eastAsia" w:ascii="Times New Roman" w:hAnsi="Times New Roman"/>
          <w:lang w:val="en-US" w:eastAsia="zh-CN"/>
        </w:rPr>
        <w:tab/>
      </w:r>
      <w:r>
        <w:rPr>
          <w:rFonts w:hint="eastAsia" w:ascii="Times New Roman" w:hAnsi="Times New Roman"/>
        </w:rPr>
        <w:t>33</w:t>
      </w:r>
    </w:p>
    <w:p w14:paraId="1104894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9.6 Environmental management</w:t>
      </w:r>
      <w:r>
        <w:rPr>
          <w:rFonts w:hint="eastAsia" w:ascii="Times New Roman" w:hAnsi="Times New Roman"/>
          <w:lang w:val="en-US" w:eastAsia="zh-CN"/>
        </w:rPr>
        <w:tab/>
      </w:r>
      <w:r>
        <w:rPr>
          <w:rFonts w:hint="eastAsia" w:ascii="Times New Roman" w:hAnsi="Times New Roman"/>
        </w:rPr>
        <w:t>33</w:t>
      </w:r>
    </w:p>
    <w:p w14:paraId="5D341ADD">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10 Cost and payment management</w:t>
      </w:r>
      <w:r>
        <w:rPr>
          <w:rFonts w:hint="eastAsia" w:ascii="Times New Roman" w:hAnsi="Times New Roman"/>
          <w:lang w:val="en-US" w:eastAsia="zh-CN"/>
        </w:rPr>
        <w:tab/>
      </w:r>
      <w:r>
        <w:rPr>
          <w:rFonts w:hint="eastAsia" w:ascii="Times New Roman" w:hAnsi="Times New Roman"/>
        </w:rPr>
        <w:t>34</w:t>
      </w:r>
    </w:p>
    <w:p w14:paraId="59720C70">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10.1 General requirements</w:t>
      </w:r>
      <w:r>
        <w:rPr>
          <w:rFonts w:hint="eastAsia" w:ascii="Times New Roman" w:hAnsi="Times New Roman"/>
          <w:lang w:val="en-US" w:eastAsia="zh-CN"/>
        </w:rPr>
        <w:tab/>
      </w:r>
      <w:r>
        <w:rPr>
          <w:rFonts w:hint="eastAsia" w:ascii="Times New Roman" w:hAnsi="Times New Roman"/>
        </w:rPr>
        <w:t>34</w:t>
      </w:r>
    </w:p>
    <w:p w14:paraId="1B641EA0">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10.2 Payment plan and application</w:t>
      </w:r>
      <w:r>
        <w:rPr>
          <w:rFonts w:hint="eastAsia" w:ascii="Times New Roman" w:hAnsi="Times New Roman"/>
          <w:lang w:val="en-US" w:eastAsia="zh-CN"/>
        </w:rPr>
        <w:tab/>
      </w:r>
      <w:r>
        <w:rPr>
          <w:rFonts w:hint="eastAsia" w:ascii="Times New Roman" w:hAnsi="Times New Roman"/>
        </w:rPr>
        <w:t>34</w:t>
      </w:r>
    </w:p>
    <w:p w14:paraId="3D58F07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10.3 Payment review</w:t>
      </w:r>
      <w:r>
        <w:rPr>
          <w:rFonts w:hint="eastAsia" w:ascii="Times New Roman" w:hAnsi="Times New Roman"/>
          <w:lang w:val="en-US" w:eastAsia="zh-CN"/>
        </w:rPr>
        <w:tab/>
      </w:r>
      <w:r>
        <w:rPr>
          <w:rFonts w:hint="eastAsia" w:ascii="Times New Roman" w:hAnsi="Times New Roman"/>
        </w:rPr>
        <w:t>34</w:t>
      </w:r>
    </w:p>
    <w:p w14:paraId="020B8787">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10.4 Contract change management</w:t>
      </w:r>
      <w:r>
        <w:rPr>
          <w:rFonts w:hint="eastAsia" w:ascii="Times New Roman" w:hAnsi="Times New Roman"/>
          <w:lang w:val="en-US" w:eastAsia="zh-CN"/>
        </w:rPr>
        <w:tab/>
      </w:r>
      <w:r>
        <w:rPr>
          <w:rFonts w:hint="eastAsia" w:ascii="Times New Roman" w:hAnsi="Times New Roman"/>
        </w:rPr>
        <w:t>35</w:t>
      </w:r>
    </w:p>
    <w:p w14:paraId="24970A87">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10.5 Advance payment management</w:t>
      </w:r>
      <w:r>
        <w:rPr>
          <w:rFonts w:hint="eastAsia" w:ascii="Times New Roman" w:hAnsi="Times New Roman"/>
          <w:lang w:val="en-US" w:eastAsia="zh-CN"/>
        </w:rPr>
        <w:tab/>
      </w:r>
      <w:r>
        <w:rPr>
          <w:rFonts w:hint="eastAsia" w:ascii="Times New Roman" w:hAnsi="Times New Roman"/>
        </w:rPr>
        <w:t>35</w:t>
      </w:r>
    </w:p>
    <w:p w14:paraId="37949D59">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10.6 Cost claim management</w:t>
      </w:r>
      <w:r>
        <w:rPr>
          <w:rFonts w:hint="eastAsia" w:ascii="Times New Roman" w:hAnsi="Times New Roman"/>
          <w:lang w:val="en-US" w:eastAsia="zh-CN"/>
        </w:rPr>
        <w:tab/>
      </w:r>
      <w:r>
        <w:rPr>
          <w:rFonts w:hint="eastAsia" w:ascii="Times New Roman" w:hAnsi="Times New Roman"/>
        </w:rPr>
        <w:t>36</w:t>
      </w:r>
    </w:p>
    <w:p w14:paraId="79F80C6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10.7 Settlement management</w:t>
      </w:r>
      <w:r>
        <w:rPr>
          <w:rFonts w:hint="eastAsia" w:ascii="Times New Roman" w:hAnsi="Times New Roman"/>
          <w:lang w:val="en-US" w:eastAsia="zh-CN"/>
        </w:rPr>
        <w:tab/>
      </w:r>
      <w:r>
        <w:rPr>
          <w:rFonts w:hint="eastAsia" w:ascii="Times New Roman" w:hAnsi="Times New Roman"/>
        </w:rPr>
        <w:t>36</w:t>
      </w:r>
    </w:p>
    <w:p w14:paraId="2A2BA1F8">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10.8 Liquidated damages and guarantee money management</w:t>
      </w:r>
      <w:r>
        <w:rPr>
          <w:rFonts w:hint="eastAsia" w:ascii="Times New Roman" w:hAnsi="Times New Roman"/>
          <w:lang w:val="en-US" w:eastAsia="zh-CN"/>
        </w:rPr>
        <w:tab/>
      </w:r>
      <w:r>
        <w:rPr>
          <w:rFonts w:hint="eastAsia" w:ascii="Times New Roman" w:hAnsi="Times New Roman"/>
        </w:rPr>
        <w:t>36</w:t>
      </w:r>
    </w:p>
    <w:p w14:paraId="3F163F95">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11 Performance acceptance management</w:t>
      </w:r>
      <w:r>
        <w:rPr>
          <w:rFonts w:hint="eastAsia" w:ascii="Times New Roman" w:hAnsi="Times New Roman"/>
          <w:lang w:val="en-US" w:eastAsia="zh-CN"/>
        </w:rPr>
        <w:tab/>
      </w:r>
      <w:r>
        <w:rPr>
          <w:rFonts w:hint="eastAsia" w:ascii="Times New Roman" w:hAnsi="Times New Roman"/>
        </w:rPr>
        <w:t xml:space="preserve"> 38</w:t>
      </w:r>
    </w:p>
    <w:p w14:paraId="3A27101A">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11.1 General requirements</w:t>
      </w:r>
      <w:r>
        <w:rPr>
          <w:rFonts w:hint="eastAsia" w:ascii="Times New Roman" w:hAnsi="Times New Roman"/>
          <w:lang w:val="en-US" w:eastAsia="zh-CN"/>
        </w:rPr>
        <w:tab/>
      </w:r>
      <w:r>
        <w:rPr>
          <w:rFonts w:hint="eastAsia" w:ascii="Times New Roman" w:hAnsi="Times New Roman"/>
        </w:rPr>
        <w:t>38</w:t>
      </w:r>
    </w:p>
    <w:p w14:paraId="5CDAEF1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11.2 Acceptance basis and criteria</w:t>
      </w:r>
      <w:r>
        <w:rPr>
          <w:rFonts w:hint="eastAsia" w:ascii="Times New Roman" w:hAnsi="Times New Roman"/>
          <w:lang w:val="en-US" w:eastAsia="zh-CN"/>
        </w:rPr>
        <w:tab/>
      </w:r>
      <w:r>
        <w:rPr>
          <w:rFonts w:hint="eastAsia" w:ascii="Times New Roman" w:hAnsi="Times New Roman"/>
        </w:rPr>
        <w:t>38</w:t>
      </w:r>
    </w:p>
    <w:p w14:paraId="0C448FD3">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11.3 Acceptance method</w:t>
      </w:r>
      <w:r>
        <w:rPr>
          <w:rFonts w:hint="eastAsia" w:ascii="Times New Roman" w:hAnsi="Times New Roman"/>
          <w:lang w:val="en-US" w:eastAsia="zh-CN"/>
        </w:rPr>
        <w:tab/>
      </w:r>
      <w:r>
        <w:rPr>
          <w:rFonts w:hint="eastAsia" w:ascii="Times New Roman" w:hAnsi="Times New Roman"/>
        </w:rPr>
        <w:t>39</w:t>
      </w:r>
    </w:p>
    <w:p w14:paraId="58B8B9F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11.4 Collection and review of performance process records</w:t>
      </w:r>
      <w:r>
        <w:rPr>
          <w:rFonts w:hint="eastAsia" w:ascii="Times New Roman" w:hAnsi="Times New Roman"/>
          <w:lang w:val="en-US" w:eastAsia="zh-CN"/>
        </w:rPr>
        <w:tab/>
      </w:r>
      <w:r>
        <w:rPr>
          <w:rFonts w:hint="eastAsia" w:ascii="Times New Roman" w:hAnsi="Times New Roman"/>
        </w:rPr>
        <w:t>39</w:t>
      </w:r>
    </w:p>
    <w:p w14:paraId="2A4C2612">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11.5 Acceptance procedure</w:t>
      </w:r>
      <w:r>
        <w:rPr>
          <w:rFonts w:hint="eastAsia" w:ascii="Times New Roman" w:hAnsi="Times New Roman"/>
          <w:lang w:val="en-US" w:eastAsia="zh-CN"/>
        </w:rPr>
        <w:tab/>
      </w:r>
      <w:r>
        <w:rPr>
          <w:rFonts w:hint="eastAsia" w:ascii="Times New Roman" w:hAnsi="Times New Roman"/>
        </w:rPr>
        <w:t>40</w:t>
      </w:r>
    </w:p>
    <w:p w14:paraId="0BA6785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11.6 Performance acceptance report</w:t>
      </w:r>
      <w:r>
        <w:rPr>
          <w:rFonts w:hint="eastAsia" w:ascii="Times New Roman" w:hAnsi="Times New Roman"/>
          <w:lang w:val="en-US" w:eastAsia="zh-CN"/>
        </w:rPr>
        <w:tab/>
      </w:r>
      <w:r>
        <w:rPr>
          <w:rFonts w:hint="eastAsia" w:ascii="Times New Roman" w:hAnsi="Times New Roman"/>
        </w:rPr>
        <w:t>41</w:t>
      </w:r>
    </w:p>
    <w:p w14:paraId="03F1CDED">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11.7 Linkage between performance acceptance and settlement</w:t>
      </w:r>
      <w:r>
        <w:rPr>
          <w:rFonts w:hint="eastAsia" w:ascii="Times New Roman" w:hAnsi="Times New Roman"/>
          <w:lang w:val="en-US" w:eastAsia="zh-CN"/>
        </w:rPr>
        <w:tab/>
      </w:r>
      <w:r>
        <w:rPr>
          <w:rFonts w:hint="eastAsia" w:ascii="Times New Roman" w:hAnsi="Times New Roman"/>
        </w:rPr>
        <w:t>42</w:t>
      </w:r>
    </w:p>
    <w:p w14:paraId="3A5DE416">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12 Defect liability period management</w:t>
      </w:r>
      <w:r>
        <w:rPr>
          <w:rFonts w:hint="eastAsia" w:ascii="Times New Roman" w:hAnsi="Times New Roman"/>
          <w:lang w:val="en-US" w:eastAsia="zh-CN"/>
        </w:rPr>
        <w:tab/>
      </w:r>
      <w:r>
        <w:rPr>
          <w:rFonts w:hint="eastAsia" w:ascii="Times New Roman" w:hAnsi="Times New Roman"/>
        </w:rPr>
        <w:t>43</w:t>
      </w:r>
    </w:p>
    <w:p w14:paraId="2BC96117">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12.1 General requirements</w:t>
      </w:r>
      <w:r>
        <w:rPr>
          <w:rFonts w:hint="eastAsia" w:ascii="Times New Roman" w:hAnsi="Times New Roman"/>
          <w:lang w:val="en-US" w:eastAsia="zh-CN"/>
        </w:rPr>
        <w:tab/>
      </w:r>
      <w:r>
        <w:rPr>
          <w:rFonts w:hint="eastAsia" w:ascii="Times New Roman" w:hAnsi="Times New Roman"/>
        </w:rPr>
        <w:t>43</w:t>
      </w:r>
    </w:p>
    <w:p w14:paraId="20F717E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12.2 Warranty liability</w:t>
      </w:r>
      <w:r>
        <w:rPr>
          <w:rFonts w:hint="eastAsia" w:ascii="Times New Roman" w:hAnsi="Times New Roman"/>
          <w:lang w:val="en-US" w:eastAsia="zh-CN"/>
        </w:rPr>
        <w:tab/>
      </w:r>
      <w:r>
        <w:rPr>
          <w:rFonts w:hint="eastAsia" w:ascii="Times New Roman" w:hAnsi="Times New Roman"/>
        </w:rPr>
        <w:t>43</w:t>
      </w:r>
    </w:p>
    <w:p w14:paraId="5BA32844">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12.3 Handling of defects</w:t>
      </w:r>
      <w:r>
        <w:rPr>
          <w:rFonts w:hint="eastAsia" w:ascii="Times New Roman" w:hAnsi="Times New Roman"/>
          <w:lang w:val="en-US" w:eastAsia="zh-CN"/>
        </w:rPr>
        <w:tab/>
      </w:r>
      <w:r>
        <w:rPr>
          <w:rFonts w:hint="eastAsia" w:ascii="Times New Roman" w:hAnsi="Times New Roman"/>
        </w:rPr>
        <w:t>43</w:t>
      </w:r>
    </w:p>
    <w:p w14:paraId="148B722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12.4 Warranty money management</w:t>
      </w:r>
      <w:r>
        <w:rPr>
          <w:rFonts w:hint="eastAsia" w:ascii="Times New Roman" w:hAnsi="Times New Roman"/>
          <w:lang w:val="en-US" w:eastAsia="zh-CN"/>
        </w:rPr>
        <w:tab/>
      </w:r>
      <w:r>
        <w:rPr>
          <w:rFonts w:hint="eastAsia" w:ascii="Times New Roman" w:hAnsi="Times New Roman"/>
        </w:rPr>
        <w:t>44</w:t>
      </w:r>
    </w:p>
    <w:p w14:paraId="482B4EA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12.5 Expiry of defect liability period and handover of documents</w:t>
      </w:r>
      <w:r>
        <w:rPr>
          <w:rFonts w:hint="eastAsia" w:ascii="Times New Roman" w:hAnsi="Times New Roman"/>
          <w:lang w:val="en-US" w:eastAsia="zh-CN"/>
        </w:rPr>
        <w:tab/>
      </w:r>
      <w:r>
        <w:rPr>
          <w:rFonts w:hint="eastAsia" w:ascii="Times New Roman" w:hAnsi="Times New Roman"/>
        </w:rPr>
        <w:t>45</w:t>
      </w:r>
    </w:p>
    <w:p w14:paraId="1FF2E801">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13 Performance evaluation and credit management</w:t>
      </w:r>
      <w:r>
        <w:rPr>
          <w:rFonts w:hint="eastAsia" w:ascii="Times New Roman" w:hAnsi="Times New Roman"/>
          <w:lang w:val="en-US" w:eastAsia="zh-CN"/>
        </w:rPr>
        <w:tab/>
      </w:r>
      <w:r>
        <w:rPr>
          <w:rFonts w:hint="eastAsia" w:ascii="Times New Roman" w:hAnsi="Times New Roman"/>
        </w:rPr>
        <w:t>46</w:t>
      </w:r>
    </w:p>
    <w:p w14:paraId="1EE2A0D3">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13.1 General requirements</w:t>
      </w:r>
      <w:r>
        <w:rPr>
          <w:rFonts w:hint="eastAsia" w:ascii="Times New Roman" w:hAnsi="Times New Roman"/>
          <w:lang w:val="en-US" w:eastAsia="zh-CN"/>
        </w:rPr>
        <w:tab/>
      </w:r>
      <w:r>
        <w:rPr>
          <w:rFonts w:hint="eastAsia" w:ascii="Times New Roman" w:hAnsi="Times New Roman"/>
        </w:rPr>
        <w:t>46</w:t>
      </w:r>
    </w:p>
    <w:p w14:paraId="03A0012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13.2 Evaluation indicator system</w:t>
      </w:r>
      <w:r>
        <w:rPr>
          <w:rFonts w:hint="eastAsia" w:ascii="Times New Roman" w:hAnsi="Times New Roman"/>
          <w:lang w:val="en-US" w:eastAsia="zh-CN"/>
        </w:rPr>
        <w:tab/>
      </w:r>
      <w:r>
        <w:rPr>
          <w:rFonts w:hint="eastAsia" w:ascii="Times New Roman" w:hAnsi="Times New Roman"/>
        </w:rPr>
        <w:t>46</w:t>
      </w:r>
    </w:p>
    <w:p w14:paraId="7574ED94">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13.3 Collection of performance information</w:t>
      </w:r>
      <w:r>
        <w:rPr>
          <w:rFonts w:hint="eastAsia" w:ascii="Times New Roman" w:hAnsi="Times New Roman"/>
          <w:lang w:val="en-US" w:eastAsia="zh-CN"/>
        </w:rPr>
        <w:tab/>
      </w:r>
      <w:r>
        <w:rPr>
          <w:rFonts w:hint="eastAsia" w:ascii="Times New Roman" w:hAnsi="Times New Roman"/>
        </w:rPr>
        <w:t>47</w:t>
      </w:r>
    </w:p>
    <w:p w14:paraId="5C7DA0DE">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13.4 Evaluation methods and procedures</w:t>
      </w:r>
      <w:r>
        <w:rPr>
          <w:rFonts w:hint="eastAsia" w:ascii="Times New Roman" w:hAnsi="Times New Roman"/>
          <w:lang w:val="en-US" w:eastAsia="zh-CN"/>
        </w:rPr>
        <w:tab/>
      </w:r>
      <w:r>
        <w:rPr>
          <w:rFonts w:hint="eastAsia" w:ascii="Times New Roman" w:hAnsi="Times New Roman"/>
        </w:rPr>
        <w:t>48</w:t>
      </w:r>
    </w:p>
    <w:p w14:paraId="337507F6">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13.5 Application of evaluation results</w:t>
      </w:r>
      <w:r>
        <w:rPr>
          <w:rFonts w:hint="eastAsia" w:ascii="Times New Roman" w:hAnsi="Times New Roman"/>
          <w:lang w:val="en-US" w:eastAsia="zh-CN"/>
        </w:rPr>
        <w:tab/>
      </w:r>
      <w:r>
        <w:rPr>
          <w:rFonts w:hint="eastAsia" w:ascii="Times New Roman" w:hAnsi="Times New Roman"/>
        </w:rPr>
        <w:t>49</w:t>
      </w:r>
    </w:p>
    <w:p w14:paraId="5A91C3C1">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13.6 Credit linkage and information sharing</w:t>
      </w:r>
      <w:r>
        <w:rPr>
          <w:rFonts w:hint="eastAsia" w:ascii="Times New Roman" w:hAnsi="Times New Roman"/>
          <w:lang w:val="en-US" w:eastAsia="zh-CN"/>
        </w:rPr>
        <w:tab/>
      </w:r>
      <w:r>
        <w:rPr>
          <w:rFonts w:hint="eastAsia" w:ascii="Times New Roman" w:hAnsi="Times New Roman"/>
        </w:rPr>
        <w:t>49</w:t>
      </w:r>
    </w:p>
    <w:p w14:paraId="604AF239">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13.7 Credit repair</w:t>
      </w:r>
      <w:r>
        <w:rPr>
          <w:rFonts w:hint="eastAsia" w:ascii="Times New Roman" w:hAnsi="Times New Roman"/>
          <w:lang w:val="en-US" w:eastAsia="zh-CN"/>
        </w:rPr>
        <w:tab/>
      </w:r>
      <w:r>
        <w:rPr>
          <w:rFonts w:hint="eastAsia" w:ascii="Times New Roman" w:hAnsi="Times New Roman"/>
        </w:rPr>
        <w:t>50</w:t>
      </w:r>
    </w:p>
    <w:p w14:paraId="3A375E9A">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13.8 Archive management</w:t>
      </w:r>
      <w:r>
        <w:rPr>
          <w:rFonts w:hint="eastAsia" w:ascii="Times New Roman" w:hAnsi="Times New Roman"/>
          <w:lang w:val="en-US" w:eastAsia="zh-CN"/>
        </w:rPr>
        <w:tab/>
      </w:r>
      <w:r>
        <w:rPr>
          <w:rFonts w:hint="eastAsia" w:ascii="Times New Roman" w:hAnsi="Times New Roman"/>
        </w:rPr>
        <w:t>50</w:t>
      </w:r>
    </w:p>
    <w:p w14:paraId="42EF1F13">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14 Dispute management</w:t>
      </w:r>
      <w:r>
        <w:rPr>
          <w:rFonts w:hint="eastAsia" w:ascii="Times New Roman" w:hAnsi="Times New Roman"/>
          <w:lang w:val="en-US" w:eastAsia="zh-CN"/>
        </w:rPr>
        <w:tab/>
      </w:r>
      <w:r>
        <w:rPr>
          <w:rFonts w:hint="eastAsia" w:ascii="Times New Roman" w:hAnsi="Times New Roman"/>
        </w:rPr>
        <w:t>52</w:t>
      </w:r>
    </w:p>
    <w:p w14:paraId="139413B2">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14.1 General requirements</w:t>
      </w:r>
      <w:r>
        <w:rPr>
          <w:rFonts w:hint="eastAsia" w:ascii="Times New Roman" w:hAnsi="Times New Roman"/>
          <w:lang w:val="en-US" w:eastAsia="zh-CN"/>
        </w:rPr>
        <w:tab/>
      </w:r>
      <w:r>
        <w:rPr>
          <w:rFonts w:hint="eastAsia" w:ascii="Times New Roman" w:hAnsi="Times New Roman"/>
        </w:rPr>
        <w:t>52</w:t>
      </w:r>
    </w:p>
    <w:p w14:paraId="74391191">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14.2 Identification and registration of disputes</w:t>
      </w:r>
      <w:r>
        <w:rPr>
          <w:rFonts w:hint="eastAsia" w:ascii="Times New Roman" w:hAnsi="Times New Roman"/>
          <w:lang w:val="en-US" w:eastAsia="zh-CN"/>
        </w:rPr>
        <w:tab/>
      </w:r>
      <w:r>
        <w:rPr>
          <w:rFonts w:hint="eastAsia" w:ascii="Times New Roman" w:hAnsi="Times New Roman"/>
        </w:rPr>
        <w:t>52</w:t>
      </w:r>
    </w:p>
    <w:p w14:paraId="7A2CA0B4">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14.3 Consultation and handling of disputes</w:t>
      </w:r>
      <w:r>
        <w:rPr>
          <w:rFonts w:hint="eastAsia" w:ascii="Times New Roman" w:hAnsi="Times New Roman"/>
          <w:lang w:val="en-US" w:eastAsia="zh-CN"/>
        </w:rPr>
        <w:tab/>
      </w:r>
      <w:r>
        <w:rPr>
          <w:rFonts w:hint="eastAsia" w:ascii="Times New Roman" w:hAnsi="Times New Roman"/>
        </w:rPr>
        <w:t>53</w:t>
      </w:r>
    </w:p>
    <w:p w14:paraId="774E9223">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14.4 Execution and archiving of dispute resolution</w:t>
      </w:r>
      <w:r>
        <w:rPr>
          <w:rFonts w:hint="eastAsia" w:ascii="Times New Roman" w:hAnsi="Times New Roman"/>
          <w:lang w:val="en-US" w:eastAsia="zh-CN"/>
        </w:rPr>
        <w:tab/>
      </w:r>
      <w:r>
        <w:rPr>
          <w:rFonts w:hint="eastAsia" w:ascii="Times New Roman" w:hAnsi="Times New Roman"/>
        </w:rPr>
        <w:t>53</w:t>
      </w:r>
    </w:p>
    <w:p w14:paraId="3BC0D136">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15 Supervisory administration by competent authorities</w:t>
      </w:r>
      <w:r>
        <w:rPr>
          <w:rFonts w:hint="eastAsia" w:ascii="Times New Roman" w:hAnsi="Times New Roman"/>
          <w:lang w:val="en-US" w:eastAsia="zh-CN"/>
        </w:rPr>
        <w:tab/>
      </w:r>
      <w:r>
        <w:rPr>
          <w:rFonts w:hint="eastAsia" w:ascii="Times New Roman" w:hAnsi="Times New Roman"/>
        </w:rPr>
        <w:t>55</w:t>
      </w:r>
    </w:p>
    <w:p w14:paraId="21C99EBC">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15.1 General principles</w:t>
      </w:r>
      <w:r>
        <w:rPr>
          <w:rFonts w:hint="eastAsia" w:ascii="Times New Roman" w:hAnsi="Times New Roman"/>
          <w:lang w:val="en-US" w:eastAsia="zh-CN"/>
        </w:rPr>
        <w:tab/>
      </w:r>
      <w:r>
        <w:rPr>
          <w:rFonts w:hint="eastAsia" w:ascii="Times New Roman" w:hAnsi="Times New Roman"/>
        </w:rPr>
        <w:t>55</w:t>
      </w:r>
    </w:p>
    <w:p w14:paraId="4BC92E48">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15.2 Supervisory duties and methods</w:t>
      </w:r>
      <w:r>
        <w:rPr>
          <w:rFonts w:hint="eastAsia" w:ascii="Times New Roman" w:hAnsi="Times New Roman"/>
          <w:lang w:val="en-US" w:eastAsia="zh-CN"/>
        </w:rPr>
        <w:tab/>
      </w:r>
      <w:r>
        <w:rPr>
          <w:rFonts w:hint="eastAsia" w:ascii="Times New Roman" w:hAnsi="Times New Roman"/>
        </w:rPr>
        <w:t>55</w:t>
      </w:r>
    </w:p>
    <w:p w14:paraId="78570E6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15.3 Issue identification and handling</w:t>
      </w:r>
      <w:r>
        <w:rPr>
          <w:rFonts w:hint="eastAsia" w:ascii="Times New Roman" w:hAnsi="Times New Roman"/>
          <w:lang w:val="en-US" w:eastAsia="zh-CN"/>
        </w:rPr>
        <w:tab/>
      </w:r>
      <w:r>
        <w:rPr>
          <w:rFonts w:hint="eastAsia" w:ascii="Times New Roman" w:hAnsi="Times New Roman"/>
        </w:rPr>
        <w:t>56</w:t>
      </w:r>
    </w:p>
    <w:p w14:paraId="4572B0EB">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15.4 Credit management and information reporting</w:t>
      </w:r>
      <w:r>
        <w:rPr>
          <w:rFonts w:hint="eastAsia" w:ascii="Times New Roman" w:hAnsi="Times New Roman"/>
          <w:lang w:val="en-US" w:eastAsia="zh-CN"/>
        </w:rPr>
        <w:tab/>
      </w:r>
      <w:r>
        <w:rPr>
          <w:rFonts w:hint="eastAsia" w:ascii="Times New Roman" w:hAnsi="Times New Roman"/>
        </w:rPr>
        <w:t>57</w:t>
      </w:r>
    </w:p>
    <w:p w14:paraId="2CBDD077">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16 Digital and intelligent performance management</w:t>
      </w:r>
      <w:r>
        <w:rPr>
          <w:rFonts w:hint="eastAsia" w:ascii="Times New Roman" w:hAnsi="Times New Roman"/>
          <w:lang w:val="en-US" w:eastAsia="zh-CN"/>
        </w:rPr>
        <w:tab/>
      </w:r>
      <w:r>
        <w:rPr>
          <w:rFonts w:hint="eastAsia" w:ascii="Times New Roman" w:hAnsi="Times New Roman"/>
        </w:rPr>
        <w:t>58</w:t>
      </w:r>
    </w:p>
    <w:p w14:paraId="18BCBEB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16.1 General requirements</w:t>
      </w:r>
      <w:r>
        <w:rPr>
          <w:rFonts w:hint="eastAsia" w:ascii="Times New Roman" w:hAnsi="Times New Roman"/>
          <w:lang w:val="en-US" w:eastAsia="zh-CN"/>
        </w:rPr>
        <w:tab/>
      </w:r>
      <w:r>
        <w:rPr>
          <w:rFonts w:hint="eastAsia" w:ascii="Times New Roman" w:hAnsi="Times New Roman"/>
        </w:rPr>
        <w:t>58</w:t>
      </w:r>
    </w:p>
    <w:p w14:paraId="014654E6">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16.2 Digital and intelligent management platform</w:t>
      </w:r>
      <w:r>
        <w:rPr>
          <w:rFonts w:hint="eastAsia" w:ascii="Times New Roman" w:hAnsi="Times New Roman"/>
          <w:lang w:val="en-US" w:eastAsia="zh-CN"/>
        </w:rPr>
        <w:tab/>
      </w:r>
      <w:r>
        <w:rPr>
          <w:rFonts w:hint="eastAsia" w:ascii="Times New Roman" w:hAnsi="Times New Roman"/>
        </w:rPr>
        <w:t>58</w:t>
      </w:r>
    </w:p>
    <w:p w14:paraId="6A17304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16.3 Data collection and management</w:t>
      </w:r>
      <w:r>
        <w:rPr>
          <w:rFonts w:hint="eastAsia" w:ascii="Times New Roman" w:hAnsi="Times New Roman"/>
          <w:lang w:val="en-US" w:eastAsia="zh-CN"/>
        </w:rPr>
        <w:tab/>
      </w:r>
      <w:r>
        <w:rPr>
          <w:rFonts w:hint="eastAsia" w:ascii="Times New Roman" w:hAnsi="Times New Roman"/>
        </w:rPr>
        <w:t>59</w:t>
      </w:r>
    </w:p>
    <w:p w14:paraId="3A1305F0">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16.4 Intelligent applications</w:t>
      </w:r>
      <w:r>
        <w:rPr>
          <w:rFonts w:hint="eastAsia" w:ascii="Times New Roman" w:hAnsi="Times New Roman"/>
          <w:lang w:val="en-US" w:eastAsia="zh-CN"/>
        </w:rPr>
        <w:tab/>
      </w:r>
      <w:r>
        <w:rPr>
          <w:rFonts w:hint="eastAsia" w:ascii="Times New Roman" w:hAnsi="Times New Roman"/>
        </w:rPr>
        <w:t>59</w:t>
      </w:r>
    </w:p>
    <w:p w14:paraId="143B439F">
      <w:pPr>
        <w:keepNext w:val="0"/>
        <w:keepLines w:val="0"/>
        <w:pageBreakBefore w:val="0"/>
        <w:widowControl w:val="0"/>
        <w:tabs>
          <w:tab w:val="center" w:leader="dot" w:pos="8505"/>
        </w:tabs>
        <w:kinsoku/>
        <w:wordWrap/>
        <w:overflowPunct/>
        <w:topLinePunct w:val="0"/>
        <w:autoSpaceDE/>
        <w:autoSpaceDN/>
        <w:bidi w:val="0"/>
        <w:adjustRightInd/>
        <w:snapToGrid/>
        <w:ind w:firstLine="240" w:firstLineChars="100"/>
        <w:textAlignment w:val="auto"/>
        <w:rPr>
          <w:rFonts w:hint="eastAsia" w:ascii="Times New Roman" w:hAnsi="Times New Roman"/>
        </w:rPr>
      </w:pPr>
      <w:r>
        <w:rPr>
          <w:rFonts w:hint="eastAsia" w:ascii="Times New Roman" w:hAnsi="Times New Roman"/>
        </w:rPr>
        <w:t>16.5 Data security and compliance</w:t>
      </w:r>
      <w:r>
        <w:rPr>
          <w:rFonts w:hint="eastAsia" w:ascii="Times New Roman" w:hAnsi="Times New Roman"/>
          <w:lang w:val="en-US" w:eastAsia="zh-CN"/>
        </w:rPr>
        <w:tab/>
      </w:r>
      <w:r>
        <w:rPr>
          <w:rFonts w:hint="eastAsia" w:ascii="Times New Roman" w:hAnsi="Times New Roman"/>
        </w:rPr>
        <w:t>60</w:t>
      </w:r>
    </w:p>
    <w:p w14:paraId="56BBF643">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pPr>
      <w:r>
        <w:rPr>
          <w:rFonts w:hint="eastAsia" w:ascii="Times New Roman" w:hAnsi="Times New Roman"/>
        </w:rPr>
        <w:t>Explanation of wording in this standard</w:t>
      </w:r>
      <w:r>
        <w:rPr>
          <w:rFonts w:hint="eastAsia" w:ascii="Times New Roman" w:hAnsi="Times New Roman"/>
          <w:lang w:val="en-US" w:eastAsia="zh-CN"/>
        </w:rPr>
        <w:tab/>
      </w:r>
      <w:r>
        <w:rPr>
          <w:rFonts w:hint="eastAsia" w:ascii="Times New Roman" w:hAnsi="Times New Roman"/>
        </w:rPr>
        <w:t>61</w:t>
      </w:r>
    </w:p>
    <w:p w14:paraId="26BE9A78">
      <w:pPr>
        <w:keepNext w:val="0"/>
        <w:keepLines w:val="0"/>
        <w:pageBreakBefore w:val="0"/>
        <w:widowControl w:val="0"/>
        <w:tabs>
          <w:tab w:val="center" w:leader="dot" w:pos="8505"/>
        </w:tabs>
        <w:kinsoku/>
        <w:wordWrap/>
        <w:overflowPunct/>
        <w:topLinePunct w:val="0"/>
        <w:autoSpaceDE/>
        <w:autoSpaceDN/>
        <w:bidi w:val="0"/>
        <w:adjustRightInd/>
        <w:snapToGrid/>
        <w:textAlignment w:val="auto"/>
        <w:rPr>
          <w:rFonts w:hint="eastAsia" w:ascii="Times New Roman" w:hAnsi="Times New Roman"/>
        </w:rPr>
        <w:sectPr>
          <w:headerReference r:id="rId10" w:type="default"/>
          <w:footerReference r:id="rId11" w:type="default"/>
          <w:pgSz w:w="11906" w:h="16838"/>
          <w:pgMar w:top="1417" w:right="1701" w:bottom="1417" w:left="1701" w:header="851" w:footer="992" w:gutter="0"/>
          <w:pgNumType w:start="1"/>
          <w:cols w:space="720" w:num="1"/>
          <w:docGrid w:type="lines" w:linePitch="312" w:charSpace="0"/>
        </w:sectPr>
      </w:pPr>
      <w:r>
        <w:rPr>
          <w:rFonts w:hint="eastAsia" w:ascii="Times New Roman" w:hAnsi="Times New Roman"/>
        </w:rPr>
        <w:t>Clarification of provisions</w:t>
      </w:r>
      <w:r>
        <w:rPr>
          <w:rFonts w:hint="eastAsia" w:ascii="Times New Roman" w:hAnsi="Times New Roman"/>
          <w:lang w:val="en-US" w:eastAsia="zh-CN"/>
        </w:rPr>
        <w:tab/>
      </w:r>
      <w:r>
        <w:rPr>
          <w:rFonts w:hint="eastAsia" w:ascii="Times New Roman" w:hAnsi="Times New Roman"/>
        </w:rPr>
        <w:t>62</w:t>
      </w:r>
    </w:p>
    <w:p w14:paraId="1639BD57">
      <w:pPr>
        <w:pStyle w:val="2"/>
        <w:rPr>
          <w:color w:val="000000"/>
          <w:szCs w:val="32"/>
        </w:rPr>
      </w:pPr>
      <w:bookmarkStart w:id="10" w:name="_Toc1202258476"/>
      <w:bookmarkStart w:id="11" w:name="_Toc2073268490"/>
      <w:bookmarkStart w:id="12" w:name="_Toc1391626201"/>
      <w:bookmarkStart w:id="13" w:name="_Toc615606791"/>
      <w:bookmarkStart w:id="14" w:name="_Toc128307750"/>
      <w:bookmarkStart w:id="15" w:name="_Toc231665499"/>
      <w:bookmarkStart w:id="16" w:name="_Toc456705031"/>
      <w:bookmarkStart w:id="17" w:name="_Toc1810556640"/>
      <w:bookmarkStart w:id="18" w:name="_Toc671089570"/>
      <w:bookmarkStart w:id="19" w:name="_Toc435778383"/>
      <w:bookmarkStart w:id="20" w:name="_Toc2121305474"/>
      <w:r>
        <w:rPr>
          <w:color w:val="000000"/>
          <w:szCs w:val="32"/>
        </w:rPr>
        <w:t>1  总  则</w:t>
      </w:r>
      <w:bookmarkEnd w:id="10"/>
      <w:bookmarkEnd w:id="11"/>
      <w:bookmarkEnd w:id="12"/>
      <w:bookmarkEnd w:id="13"/>
      <w:bookmarkEnd w:id="14"/>
      <w:bookmarkEnd w:id="15"/>
      <w:bookmarkEnd w:id="16"/>
      <w:bookmarkEnd w:id="17"/>
      <w:bookmarkEnd w:id="18"/>
      <w:bookmarkEnd w:id="19"/>
      <w:bookmarkEnd w:id="20"/>
    </w:p>
    <w:p w14:paraId="40216435">
      <w:pPr>
        <w:rPr>
          <w:rFonts w:ascii="Times New Roman" w:hAnsi="Times New Roman"/>
          <w:b/>
          <w:color w:val="000000"/>
        </w:rPr>
      </w:pPr>
      <w:r>
        <w:rPr>
          <w:rFonts w:ascii="Times New Roman" w:hAnsi="Times New Roman"/>
          <w:b/>
          <w:color w:val="000000"/>
        </w:rPr>
        <w:t xml:space="preserve">1.0.1  </w:t>
      </w:r>
      <w:r>
        <w:rPr>
          <w:rFonts w:ascii="Times New Roman" w:hAnsi="Times New Roman"/>
          <w:color w:val="000000"/>
        </w:rPr>
        <w:t>为规范建设工程招标项目中标后的合同履约管理行为，落实招标人在合同履约过程中的主体责任，提高发包人履约管理能力，制定本标准。</w:t>
      </w:r>
    </w:p>
    <w:p w14:paraId="5C0E2888">
      <w:pPr>
        <w:rPr>
          <w:rFonts w:ascii="Times New Roman" w:hAnsi="Times New Roman"/>
          <w:color w:val="000000"/>
        </w:rPr>
      </w:pPr>
      <w:r>
        <w:rPr>
          <w:rFonts w:ascii="Times New Roman" w:hAnsi="Times New Roman"/>
          <w:b/>
          <w:color w:val="000000"/>
        </w:rPr>
        <w:t xml:space="preserve">1.0.2  </w:t>
      </w:r>
      <w:r>
        <w:rPr>
          <w:rFonts w:ascii="Times New Roman" w:hAnsi="Times New Roman"/>
          <w:color w:val="000000"/>
        </w:rPr>
        <w:t>本标准适用于采用招标方式订立的房屋建筑和市政基础设施、交通、水利等建设工程项目施工、工程总承包、勘察、设计、监理等合同履约管理活动。</w:t>
      </w:r>
    </w:p>
    <w:p w14:paraId="2635DD19">
      <w:pPr>
        <w:rPr>
          <w:rFonts w:ascii="Times New Roman" w:hAnsi="Times New Roman"/>
          <w:color w:val="000000"/>
        </w:rPr>
      </w:pPr>
      <w:r>
        <w:rPr>
          <w:rFonts w:ascii="Times New Roman" w:hAnsi="Times New Roman"/>
          <w:b/>
          <w:color w:val="000000"/>
        </w:rPr>
        <w:t xml:space="preserve">1.0.3  </w:t>
      </w:r>
      <w:r>
        <w:rPr>
          <w:rFonts w:ascii="Times New Roman" w:hAnsi="Times New Roman"/>
          <w:color w:val="000000"/>
        </w:rPr>
        <w:t>建设工程合同的发包人对合同履行全过程承担主体责任，应建立以履约清单为基准、过程记录为证据、履约验收为结算依据、履约评价为信用档案的闭环管理机制，实行合同订立、过程监督、偏差整改、履约验收、履约评价、信用联动的全链条管理。</w:t>
      </w:r>
    </w:p>
    <w:p w14:paraId="7B6FCCF0">
      <w:pPr>
        <w:rPr>
          <w:rFonts w:ascii="Times New Roman" w:hAnsi="Times New Roman"/>
          <w:color w:val="000000"/>
        </w:rPr>
      </w:pPr>
      <w:r>
        <w:rPr>
          <w:rFonts w:ascii="Times New Roman" w:hAnsi="Times New Roman"/>
          <w:b/>
          <w:color w:val="000000"/>
        </w:rPr>
        <w:t xml:space="preserve">1.0.4  </w:t>
      </w:r>
      <w:r>
        <w:rPr>
          <w:rFonts w:ascii="Times New Roman" w:hAnsi="Times New Roman"/>
          <w:color w:val="000000"/>
        </w:rPr>
        <w:t>建设工程合同的承包人应严格履行合同义务，主动配合发包人的履约管理，确保履约行为与投标承诺一致。</w:t>
      </w:r>
    </w:p>
    <w:p w14:paraId="688859EF">
      <w:pPr>
        <w:rPr>
          <w:rFonts w:ascii="Times New Roman" w:hAnsi="Times New Roman"/>
          <w:color w:val="000000"/>
        </w:rPr>
      </w:pPr>
      <w:r>
        <w:rPr>
          <w:rFonts w:ascii="Times New Roman" w:hAnsi="Times New Roman"/>
          <w:b/>
          <w:bCs/>
          <w:color w:val="000000"/>
        </w:rPr>
        <w:t>1.0.5</w:t>
      </w:r>
      <w:r>
        <w:rPr>
          <w:rFonts w:ascii="Times New Roman" w:hAnsi="Times New Roman"/>
          <w:color w:val="000000"/>
        </w:rPr>
        <w:t xml:space="preserve">  建设工程招标投标履约管理，除应符合本标准外，尚应符合国家现行有关工程建设标准、规范及规范性文件的规定。</w:t>
      </w:r>
      <w:r>
        <w:rPr>
          <w:rFonts w:hint="eastAsia" w:ascii="Times New Roman" w:hAnsi="Times New Roman"/>
          <w:color w:val="000000"/>
        </w:rPr>
        <w:t>本标准关于设计、施工项目的内容适用于工程总承包项目，另有规定的除外。</w:t>
      </w:r>
    </w:p>
    <w:p w14:paraId="51EF0C2D">
      <w:pPr>
        <w:pStyle w:val="2"/>
      </w:pPr>
      <w:r>
        <w:rPr>
          <w:color w:val="000000"/>
        </w:rPr>
        <w:br w:type="page"/>
      </w:r>
      <w:bookmarkStart w:id="21" w:name="_Toc1445733145"/>
      <w:bookmarkStart w:id="22" w:name="_Toc231665500"/>
      <w:bookmarkStart w:id="23" w:name="_Toc2042734308"/>
      <w:bookmarkStart w:id="24" w:name="_Toc582988827"/>
      <w:bookmarkStart w:id="25" w:name="_Toc1744100089"/>
      <w:bookmarkStart w:id="26" w:name="_Toc1918775665"/>
      <w:bookmarkStart w:id="27" w:name="_Toc601522720"/>
      <w:bookmarkStart w:id="28" w:name="_Toc379742819"/>
      <w:bookmarkStart w:id="29" w:name="_Toc1877005164"/>
      <w:r>
        <w:rPr>
          <w:color w:val="000000"/>
          <w:szCs w:val="32"/>
        </w:rPr>
        <w:t xml:space="preserve">2 </w:t>
      </w:r>
      <w:r>
        <w:t xml:space="preserve"> 术语与参考标准</w:t>
      </w:r>
      <w:bookmarkEnd w:id="21"/>
      <w:bookmarkEnd w:id="22"/>
      <w:bookmarkEnd w:id="23"/>
      <w:bookmarkEnd w:id="24"/>
      <w:bookmarkEnd w:id="25"/>
      <w:bookmarkEnd w:id="26"/>
      <w:bookmarkEnd w:id="27"/>
      <w:bookmarkEnd w:id="28"/>
      <w:bookmarkEnd w:id="29"/>
    </w:p>
    <w:p w14:paraId="5AB2F8D5">
      <w:pPr>
        <w:pStyle w:val="3"/>
      </w:pPr>
      <w:bookmarkStart w:id="30" w:name="_Toc231665501"/>
      <w:bookmarkStart w:id="31" w:name="_Toc1994766344"/>
      <w:bookmarkStart w:id="32" w:name="_Toc437035719"/>
      <w:bookmarkStart w:id="33" w:name="_Toc2114291395"/>
      <w:bookmarkStart w:id="34" w:name="_Toc1353118046"/>
      <w:bookmarkStart w:id="35" w:name="_Toc2086618010"/>
      <w:bookmarkStart w:id="36" w:name="_Toc851970231"/>
      <w:bookmarkStart w:id="37" w:name="_Toc1847751082"/>
      <w:bookmarkStart w:id="38" w:name="_Toc1691847396"/>
      <w:r>
        <w:rPr>
          <w:color w:val="000000"/>
          <w:szCs w:val="32"/>
        </w:rPr>
        <w:t xml:space="preserve">2.1  </w:t>
      </w:r>
      <w:r>
        <w:t>术  语</w:t>
      </w:r>
      <w:bookmarkEnd w:id="30"/>
      <w:bookmarkEnd w:id="31"/>
      <w:bookmarkEnd w:id="32"/>
      <w:bookmarkEnd w:id="33"/>
      <w:bookmarkEnd w:id="34"/>
      <w:bookmarkEnd w:id="35"/>
      <w:bookmarkEnd w:id="36"/>
      <w:bookmarkEnd w:id="37"/>
      <w:bookmarkEnd w:id="38"/>
    </w:p>
    <w:p w14:paraId="1F00DF18">
      <w:pPr>
        <w:spacing w:line="312" w:lineRule="auto"/>
        <w:rPr>
          <w:rFonts w:ascii="Times New Roman" w:hAnsi="Times New Roman"/>
          <w:color w:val="000000"/>
        </w:rPr>
      </w:pPr>
      <w:r>
        <w:rPr>
          <w:rFonts w:ascii="Times New Roman" w:hAnsi="Times New Roman"/>
          <w:b/>
          <w:bCs/>
          <w:color w:val="000000"/>
          <w:szCs w:val="32"/>
        </w:rPr>
        <w:t>2.1.1</w:t>
      </w:r>
      <w:r>
        <w:rPr>
          <w:rFonts w:ascii="Times New Roman" w:hAnsi="Times New Roman"/>
          <w:b/>
          <w:color w:val="000000"/>
        </w:rPr>
        <w:t xml:space="preserve">  </w:t>
      </w:r>
      <w:r>
        <w:rPr>
          <w:rFonts w:ascii="Times New Roman" w:hAnsi="Times New Roman"/>
          <w:color w:val="000000"/>
        </w:rPr>
        <w:t xml:space="preserve">招标投标履约管理  Contract Performance Management in Bidding and Tendering </w:t>
      </w:r>
    </w:p>
    <w:p w14:paraId="7F7B5BC7">
      <w:pPr>
        <w:spacing w:line="312" w:lineRule="auto"/>
        <w:ind w:firstLine="480" w:firstLineChars="200"/>
        <w:rPr>
          <w:rFonts w:ascii="Times New Roman" w:hAnsi="Times New Roman"/>
          <w:color w:val="000000"/>
        </w:rPr>
      </w:pPr>
      <w:r>
        <w:rPr>
          <w:rFonts w:ascii="Times New Roman" w:hAnsi="Times New Roman"/>
          <w:color w:val="000000"/>
        </w:rPr>
        <w:t>招标项目中标后，发包人依据中标通知书、招标文件、投标文件及合同约定，对承包人合同履行全过程进行监督、检查、验收、评价与信用联动等管理的活动。</w:t>
      </w:r>
    </w:p>
    <w:p w14:paraId="3A7CED1C">
      <w:pPr>
        <w:spacing w:line="312" w:lineRule="auto"/>
        <w:rPr>
          <w:rFonts w:ascii="Times New Roman" w:hAnsi="Times New Roman"/>
          <w:color w:val="000000"/>
        </w:rPr>
      </w:pPr>
      <w:r>
        <w:rPr>
          <w:rFonts w:ascii="Times New Roman" w:hAnsi="Times New Roman"/>
          <w:b/>
          <w:bCs/>
          <w:color w:val="000000"/>
          <w:szCs w:val="32"/>
        </w:rPr>
        <w:t>2.1.2</w:t>
      </w:r>
      <w:r>
        <w:rPr>
          <w:rFonts w:ascii="Times New Roman" w:hAnsi="Times New Roman"/>
          <w:b/>
          <w:color w:val="000000"/>
        </w:rPr>
        <w:t xml:space="preserve">  </w:t>
      </w:r>
      <w:r>
        <w:rPr>
          <w:rFonts w:ascii="Times New Roman" w:hAnsi="Times New Roman"/>
          <w:color w:val="000000"/>
        </w:rPr>
        <w:t xml:space="preserve">发包人  Employer </w:t>
      </w:r>
    </w:p>
    <w:p w14:paraId="65A122E9">
      <w:pPr>
        <w:spacing w:line="312" w:lineRule="auto"/>
        <w:ind w:firstLine="480" w:firstLineChars="200"/>
        <w:rPr>
          <w:rFonts w:ascii="Times New Roman" w:hAnsi="Times New Roman"/>
          <w:color w:val="000000"/>
        </w:rPr>
      </w:pPr>
      <w:r>
        <w:rPr>
          <w:rFonts w:ascii="Times New Roman" w:hAnsi="Times New Roman"/>
          <w:color w:val="000000"/>
        </w:rPr>
        <w:t>本标准章节中出现的“发包人”，在招标投标阶段为“招标人”、在合同订立后为建设工程各类合同示范文本列明的“发包人（或委托人）”。</w:t>
      </w:r>
    </w:p>
    <w:p w14:paraId="71C53961">
      <w:pPr>
        <w:spacing w:line="312" w:lineRule="auto"/>
        <w:rPr>
          <w:rFonts w:ascii="Times New Roman" w:hAnsi="Times New Roman"/>
          <w:color w:val="000000"/>
        </w:rPr>
      </w:pPr>
      <w:r>
        <w:rPr>
          <w:rFonts w:ascii="Times New Roman" w:hAnsi="Times New Roman"/>
          <w:b/>
          <w:bCs/>
          <w:color w:val="000000"/>
          <w:szCs w:val="32"/>
        </w:rPr>
        <w:t>2.1.3</w:t>
      </w:r>
      <w:r>
        <w:rPr>
          <w:rFonts w:ascii="Times New Roman" w:hAnsi="Times New Roman"/>
          <w:b/>
          <w:color w:val="000000"/>
        </w:rPr>
        <w:t xml:space="preserve">  </w:t>
      </w:r>
      <w:r>
        <w:rPr>
          <w:rFonts w:ascii="Times New Roman" w:hAnsi="Times New Roman"/>
          <w:color w:val="000000"/>
        </w:rPr>
        <w:t xml:space="preserve">承包人  Contractor </w:t>
      </w:r>
    </w:p>
    <w:p w14:paraId="36373E4B">
      <w:pPr>
        <w:spacing w:line="312" w:lineRule="auto"/>
        <w:ind w:firstLine="480" w:firstLineChars="200"/>
        <w:rPr>
          <w:rFonts w:ascii="Times New Roman" w:hAnsi="Times New Roman"/>
          <w:color w:val="000000"/>
        </w:rPr>
      </w:pPr>
      <w:r>
        <w:rPr>
          <w:rFonts w:ascii="Times New Roman" w:hAnsi="Times New Roman"/>
          <w:color w:val="000000"/>
        </w:rPr>
        <w:t>本标准章节中出现的“承包人”，在招标投标阶段为“中标人”、在合同订立后为建设工程各类合同示范文本列明的“承包人（或勘察人、设计人、监理人、咨询人）”。</w:t>
      </w:r>
    </w:p>
    <w:p w14:paraId="005D870F">
      <w:pPr>
        <w:spacing w:line="312" w:lineRule="auto"/>
        <w:rPr>
          <w:rFonts w:ascii="Times New Roman" w:hAnsi="Times New Roman"/>
          <w:color w:val="000000"/>
        </w:rPr>
      </w:pPr>
      <w:r>
        <w:rPr>
          <w:rFonts w:ascii="Times New Roman" w:hAnsi="Times New Roman"/>
          <w:b/>
          <w:bCs/>
          <w:color w:val="000000"/>
          <w:szCs w:val="32"/>
        </w:rPr>
        <w:t>2.1.4</w:t>
      </w:r>
      <w:r>
        <w:rPr>
          <w:rFonts w:ascii="Times New Roman" w:hAnsi="Times New Roman"/>
          <w:b/>
          <w:color w:val="000000"/>
        </w:rPr>
        <w:t xml:space="preserve">  </w:t>
      </w:r>
      <w:r>
        <w:rPr>
          <w:rFonts w:ascii="Times New Roman" w:hAnsi="Times New Roman"/>
          <w:color w:val="000000"/>
        </w:rPr>
        <w:t xml:space="preserve">履约清单  Performance Checklist </w:t>
      </w:r>
    </w:p>
    <w:p w14:paraId="1F130CB0">
      <w:pPr>
        <w:spacing w:line="312" w:lineRule="auto"/>
        <w:ind w:firstLine="480" w:firstLineChars="200"/>
        <w:rPr>
          <w:rFonts w:ascii="Times New Roman" w:hAnsi="Times New Roman"/>
          <w:color w:val="000000"/>
        </w:rPr>
      </w:pPr>
      <w:r>
        <w:rPr>
          <w:rFonts w:ascii="Times New Roman" w:hAnsi="Times New Roman"/>
          <w:color w:val="000000"/>
        </w:rPr>
        <w:t>发包人根据招标文件、投标文件及合同约定，将承包人的履约义务逐项分解形成的明细表，作为履约过程检查、履约验收及评价的依据。履约清单可包括人员到岗、设备材料投入、里程碑节点、成果交付标准、资料提交等类别。</w:t>
      </w:r>
    </w:p>
    <w:p w14:paraId="38DA854B">
      <w:pPr>
        <w:spacing w:line="312" w:lineRule="auto"/>
        <w:rPr>
          <w:rFonts w:ascii="Times New Roman" w:hAnsi="Times New Roman"/>
          <w:color w:val="000000"/>
        </w:rPr>
      </w:pPr>
      <w:r>
        <w:rPr>
          <w:rFonts w:ascii="Times New Roman" w:hAnsi="Times New Roman"/>
          <w:b/>
          <w:bCs/>
          <w:color w:val="000000"/>
          <w:szCs w:val="32"/>
        </w:rPr>
        <w:t>2.1.5</w:t>
      </w:r>
      <w:r>
        <w:rPr>
          <w:rFonts w:ascii="Times New Roman" w:hAnsi="Times New Roman"/>
          <w:b/>
          <w:color w:val="000000"/>
        </w:rPr>
        <w:t xml:space="preserve">  </w:t>
      </w:r>
      <w:r>
        <w:rPr>
          <w:rFonts w:ascii="Times New Roman" w:hAnsi="Times New Roman"/>
          <w:color w:val="000000"/>
        </w:rPr>
        <w:t xml:space="preserve">履约验收  Performance Acceptance </w:t>
      </w:r>
    </w:p>
    <w:p w14:paraId="32386FCE">
      <w:pPr>
        <w:spacing w:line="312" w:lineRule="auto"/>
        <w:ind w:firstLine="480" w:firstLineChars="200"/>
        <w:rPr>
          <w:rFonts w:ascii="Times New Roman" w:hAnsi="Times New Roman"/>
          <w:color w:val="000000"/>
        </w:rPr>
      </w:pPr>
      <w:r>
        <w:rPr>
          <w:rFonts w:ascii="Times New Roman" w:hAnsi="Times New Roman"/>
          <w:color w:val="000000"/>
        </w:rPr>
        <w:t>履约验收是指发包人依据合同及履约清单，对承包人的履约行为及交付成果，按照规定的标准、程序和方法进行检验、审查、确认的活动。</w:t>
      </w:r>
    </w:p>
    <w:p w14:paraId="3A25F858">
      <w:pPr>
        <w:spacing w:line="312" w:lineRule="auto"/>
        <w:rPr>
          <w:rFonts w:ascii="Times New Roman" w:hAnsi="Times New Roman"/>
          <w:color w:val="000000"/>
        </w:rPr>
      </w:pPr>
      <w:r>
        <w:rPr>
          <w:rFonts w:ascii="Times New Roman" w:hAnsi="Times New Roman"/>
          <w:b/>
          <w:bCs/>
          <w:color w:val="000000"/>
          <w:szCs w:val="32"/>
        </w:rPr>
        <w:t>2.1.6</w:t>
      </w:r>
      <w:r>
        <w:rPr>
          <w:rFonts w:ascii="Times New Roman" w:hAnsi="Times New Roman"/>
          <w:b/>
          <w:color w:val="000000"/>
        </w:rPr>
        <w:t xml:space="preserve">  </w:t>
      </w:r>
      <w:r>
        <w:rPr>
          <w:rFonts w:ascii="Times New Roman" w:hAnsi="Times New Roman"/>
          <w:color w:val="000000"/>
        </w:rPr>
        <w:t xml:space="preserve">履约评价  Performance Evaluation </w:t>
      </w:r>
    </w:p>
    <w:p w14:paraId="5DB51EE2">
      <w:pPr>
        <w:spacing w:line="312" w:lineRule="auto"/>
        <w:ind w:firstLine="480" w:firstLineChars="200"/>
        <w:rPr>
          <w:rFonts w:ascii="Times New Roman" w:hAnsi="Times New Roman"/>
          <w:color w:val="000000"/>
        </w:rPr>
      </w:pPr>
      <w:r>
        <w:rPr>
          <w:rFonts w:ascii="Times New Roman" w:hAnsi="Times New Roman"/>
          <w:color w:val="000000"/>
        </w:rPr>
        <w:t>发包人依据合同约定和评价标准，对承包人的全过程履约情况进行考核和评价的活动。</w:t>
      </w:r>
    </w:p>
    <w:p w14:paraId="086EB8EB">
      <w:pPr>
        <w:spacing w:line="312" w:lineRule="auto"/>
        <w:rPr>
          <w:rFonts w:ascii="Times New Roman" w:hAnsi="Times New Roman"/>
          <w:color w:val="000000"/>
        </w:rPr>
      </w:pPr>
      <w:r>
        <w:rPr>
          <w:rFonts w:ascii="Times New Roman" w:hAnsi="Times New Roman"/>
          <w:b/>
          <w:bCs/>
          <w:color w:val="000000"/>
          <w:szCs w:val="32"/>
        </w:rPr>
        <w:t>2.1.7</w:t>
      </w:r>
      <w:r>
        <w:rPr>
          <w:rFonts w:ascii="Times New Roman" w:hAnsi="Times New Roman"/>
          <w:b/>
          <w:color w:val="000000"/>
        </w:rPr>
        <w:t xml:space="preserve">  </w:t>
      </w:r>
      <w:r>
        <w:rPr>
          <w:rFonts w:ascii="Times New Roman" w:hAnsi="Times New Roman"/>
          <w:color w:val="000000"/>
        </w:rPr>
        <w:t xml:space="preserve">数智化管理  Digital and Intelligent Management </w:t>
      </w:r>
    </w:p>
    <w:p w14:paraId="1AB8C9AB">
      <w:pPr>
        <w:spacing w:line="312" w:lineRule="auto"/>
        <w:ind w:firstLine="480" w:firstLineChars="200"/>
        <w:rPr>
          <w:rFonts w:ascii="Times New Roman" w:hAnsi="Times New Roman"/>
          <w:color w:val="000000"/>
        </w:rPr>
      </w:pPr>
      <w:r>
        <w:rPr>
          <w:rFonts w:ascii="Times New Roman" w:hAnsi="Times New Roman"/>
          <w:color w:val="000000"/>
        </w:rPr>
        <w:t>数智化管理是指发包人在履约管理过程中，综合运用数字化、网络化、智能化技术手段，对承包人的合同履行全过程进行计划、组织、协调、监督、控制、评价与信用联动的管理活动。</w:t>
      </w:r>
    </w:p>
    <w:p w14:paraId="3E1D64BC">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2.1.</w:t>
      </w:r>
      <w:r>
        <w:rPr>
          <w:rFonts w:hint="eastAsia" w:ascii="Times New Roman" w:hAnsi="Times New Roman"/>
          <w:b/>
          <w:bCs/>
          <w:color w:val="000000" w:themeColor="text1"/>
          <w14:textFill>
            <w14:solidFill>
              <w14:schemeClr w14:val="tx1"/>
            </w14:solidFill>
          </w14:textFill>
        </w:rPr>
        <w:t>8</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经审查的承包人建议书</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rPr>
        <w:t>Reviewed Contractor's Proposal</w:t>
      </w:r>
    </w:p>
    <w:p w14:paraId="08AE624F">
      <w:pPr>
        <w:adjustRightInd w:val="0"/>
        <w:snapToGrid w:val="0"/>
        <w:ind w:firstLine="480" w:firstLineChars="200"/>
        <w:rPr>
          <w:rFonts w:ascii="Times New Roman" w:hAnsi="Times New Roman"/>
          <w:color w:val="000000"/>
        </w:rPr>
      </w:pPr>
      <w:r>
        <w:rPr>
          <w:rFonts w:ascii="Times New Roman" w:hAnsi="Times New Roman"/>
        </w:rPr>
        <w:t>工程总承包合同订立并交底后，经发包人审查的承包人建议书。经审查的承包人建议书包括设计方案（按合同约定的设计范围、标准和深度提交的经发包人审查的设计成果文件）、采购方案、施工方案、试运行与性能考核方案以及项目管理组织与资源配置方案等文件。</w:t>
      </w:r>
    </w:p>
    <w:p w14:paraId="24FE144B">
      <w:pPr>
        <w:pStyle w:val="3"/>
      </w:pPr>
      <w:bookmarkStart w:id="39" w:name="_Toc1353547267"/>
      <w:bookmarkStart w:id="40" w:name="_Toc440051173"/>
      <w:bookmarkStart w:id="41" w:name="_Toc1406605758"/>
      <w:bookmarkStart w:id="42" w:name="_Toc1277618839"/>
      <w:bookmarkStart w:id="43" w:name="_Toc231665502"/>
      <w:bookmarkStart w:id="44" w:name="_Toc174119168"/>
      <w:bookmarkStart w:id="45" w:name="_Toc361160963"/>
      <w:bookmarkStart w:id="46" w:name="_Toc1010948084"/>
      <w:bookmarkStart w:id="47" w:name="_Toc1519710626"/>
      <w:r>
        <w:rPr>
          <w:color w:val="000000"/>
          <w:szCs w:val="32"/>
        </w:rPr>
        <w:t xml:space="preserve">2.2  </w:t>
      </w:r>
      <w:r>
        <w:t>参考标准</w:t>
      </w:r>
      <w:bookmarkEnd w:id="39"/>
      <w:bookmarkEnd w:id="40"/>
      <w:bookmarkEnd w:id="41"/>
      <w:bookmarkEnd w:id="42"/>
      <w:bookmarkEnd w:id="43"/>
      <w:bookmarkEnd w:id="44"/>
      <w:bookmarkEnd w:id="45"/>
      <w:bookmarkEnd w:id="46"/>
      <w:bookmarkEnd w:id="47"/>
    </w:p>
    <w:p w14:paraId="02E3CF05">
      <w:pPr>
        <w:pStyle w:val="35"/>
        <w:ind w:firstLine="0" w:firstLineChars="0"/>
        <w:rPr>
          <w:rFonts w:ascii="Times New Roman" w:hAnsi="Times New Roman"/>
        </w:rPr>
      </w:pPr>
      <w:r>
        <w:rPr>
          <w:rFonts w:hint="eastAsia" w:ascii="Times New Roman" w:hAnsi="Times New Roman"/>
          <w:lang w:val="en-US" w:eastAsia="zh-CN"/>
        </w:rPr>
        <w:t>1</w:t>
      </w:r>
      <w:r>
        <w:rPr>
          <w:rFonts w:hint="eastAsia" w:ascii="Times New Roman" w:hAnsi="Times New Roman"/>
        </w:rPr>
        <w:t>.</w:t>
      </w:r>
      <w:r>
        <w:rPr>
          <w:rFonts w:ascii="Times New Roman" w:hAnsi="Times New Roman"/>
        </w:rPr>
        <w:t>《建筑工程施工质量验收统一标准》GB 50300</w:t>
      </w:r>
    </w:p>
    <w:p w14:paraId="4661DCE1">
      <w:pPr>
        <w:pStyle w:val="35"/>
        <w:ind w:firstLine="0" w:firstLineChars="0"/>
        <w:rPr>
          <w:rFonts w:ascii="Times New Roman" w:hAnsi="Times New Roman"/>
        </w:rPr>
      </w:pPr>
      <w:r>
        <w:rPr>
          <w:rFonts w:hint="eastAsia" w:ascii="Times New Roman" w:hAnsi="Times New Roman"/>
          <w:lang w:val="en-US" w:eastAsia="zh-CN"/>
        </w:rPr>
        <w:t>2</w:t>
      </w:r>
      <w:r>
        <w:rPr>
          <w:rFonts w:hint="eastAsia" w:ascii="Times New Roman" w:hAnsi="Times New Roman"/>
        </w:rPr>
        <w:t>.</w:t>
      </w:r>
      <w:r>
        <w:rPr>
          <w:rFonts w:ascii="Times New Roman" w:hAnsi="Times New Roman"/>
        </w:rPr>
        <w:t>《建设工程监理规范》GB/T 50319</w:t>
      </w:r>
    </w:p>
    <w:p w14:paraId="425D3F70">
      <w:pPr>
        <w:pStyle w:val="35"/>
        <w:ind w:firstLine="0" w:firstLineChars="0"/>
        <w:rPr>
          <w:rFonts w:ascii="Times New Roman" w:hAnsi="Times New Roman"/>
        </w:rPr>
      </w:pPr>
      <w:r>
        <w:rPr>
          <w:rFonts w:hint="eastAsia" w:ascii="Times New Roman" w:hAnsi="Times New Roman"/>
          <w:kern w:val="0"/>
          <w:szCs w:val="21"/>
          <w:lang w:val="en-US" w:eastAsia="zh-CN" w:bidi="ar"/>
        </w:rPr>
        <w:t>3</w:t>
      </w:r>
      <w:r>
        <w:rPr>
          <w:rFonts w:hint="eastAsia" w:ascii="Times New Roman" w:hAnsi="Times New Roman"/>
          <w:kern w:val="0"/>
          <w:szCs w:val="21"/>
          <w:lang w:bidi="ar"/>
        </w:rPr>
        <w:t>.</w:t>
      </w:r>
      <w:r>
        <w:rPr>
          <w:rFonts w:ascii="Times New Roman" w:hAnsi="Times New Roman"/>
          <w:kern w:val="0"/>
          <w:szCs w:val="21"/>
          <w:lang w:bidi="ar"/>
        </w:rPr>
        <w:t>《建设工程项目管理规范》 GB</w:t>
      </w:r>
      <w:r>
        <w:rPr>
          <w:rFonts w:ascii="Times New Roman" w:hAnsi="Times New Roman"/>
          <w:kern w:val="0"/>
          <w:szCs w:val="21"/>
          <w:lang w:eastAsia="zh" w:bidi="ar"/>
        </w:rPr>
        <w:t>/</w:t>
      </w:r>
      <w:r>
        <w:rPr>
          <w:rFonts w:ascii="Times New Roman" w:hAnsi="Times New Roman"/>
          <w:kern w:val="0"/>
          <w:szCs w:val="21"/>
          <w:lang w:bidi="ar"/>
        </w:rPr>
        <w:t>T 50326</w:t>
      </w:r>
    </w:p>
    <w:p w14:paraId="13D94B5A">
      <w:pPr>
        <w:pStyle w:val="35"/>
        <w:ind w:firstLine="0" w:firstLineChars="0"/>
        <w:rPr>
          <w:rFonts w:hint="eastAsia" w:ascii="Times New Roman" w:hAnsi="Times New Roman" w:eastAsia="宋体"/>
          <w:lang w:eastAsia="zh-CN"/>
        </w:rPr>
      </w:pPr>
      <w:r>
        <w:rPr>
          <w:rFonts w:hint="eastAsia" w:ascii="Times New Roman" w:hAnsi="Times New Roman"/>
        </w:rPr>
        <w:t>4.</w:t>
      </w:r>
      <w:r>
        <w:rPr>
          <w:rFonts w:ascii="Times New Roman" w:hAnsi="Times New Roman"/>
        </w:rPr>
        <w:t>《建设工程文件归档规范》GB/T 5032</w:t>
      </w:r>
      <w:r>
        <w:rPr>
          <w:rFonts w:hint="eastAsia" w:ascii="Times New Roman" w:hAnsi="Times New Roman"/>
          <w:lang w:val="en-US" w:eastAsia="zh-CN"/>
        </w:rPr>
        <w:t>8</w:t>
      </w:r>
    </w:p>
    <w:p w14:paraId="0E577C63">
      <w:pPr>
        <w:pStyle w:val="35"/>
        <w:ind w:firstLine="0" w:firstLineChars="0"/>
        <w:rPr>
          <w:rFonts w:ascii="Times New Roman" w:hAnsi="Times New Roman"/>
        </w:rPr>
      </w:pPr>
      <w:r>
        <w:rPr>
          <w:rFonts w:hint="eastAsia" w:ascii="Times New Roman" w:hAnsi="Times New Roman"/>
          <w:lang w:val="en-US" w:eastAsia="zh-CN"/>
        </w:rPr>
        <w:t>5</w:t>
      </w:r>
      <w:r>
        <w:rPr>
          <w:rFonts w:hint="eastAsia" w:ascii="Times New Roman" w:hAnsi="Times New Roman"/>
        </w:rPr>
        <w:t>.</w:t>
      </w:r>
      <w:r>
        <w:rPr>
          <w:rFonts w:ascii="Times New Roman" w:hAnsi="Times New Roman"/>
        </w:rPr>
        <w:t xml:space="preserve">《建设项目工程总承包管理规范》 GB/T 50358 </w:t>
      </w:r>
    </w:p>
    <w:p w14:paraId="4D4BAD7E">
      <w:pPr>
        <w:pStyle w:val="35"/>
        <w:ind w:firstLine="0" w:firstLineChars="0"/>
        <w:rPr>
          <w:rFonts w:ascii="Times New Roman" w:hAnsi="Times New Roman"/>
        </w:rPr>
      </w:pPr>
      <w:r>
        <w:rPr>
          <w:rFonts w:hint="eastAsia" w:ascii="Times New Roman" w:hAnsi="Times New Roman"/>
          <w:kern w:val="0"/>
          <w:szCs w:val="21"/>
          <w:lang w:val="en-US" w:eastAsia="zh-CN" w:bidi="ar"/>
        </w:rPr>
        <w:t>6</w:t>
      </w:r>
      <w:r>
        <w:rPr>
          <w:rFonts w:hint="eastAsia" w:ascii="Times New Roman" w:hAnsi="Times New Roman"/>
          <w:kern w:val="0"/>
          <w:szCs w:val="21"/>
          <w:lang w:bidi="ar"/>
        </w:rPr>
        <w:t>.</w:t>
      </w:r>
      <w:r>
        <w:rPr>
          <w:rFonts w:ascii="Times New Roman" w:hAnsi="Times New Roman"/>
          <w:kern w:val="0"/>
          <w:szCs w:val="21"/>
          <w:lang w:bidi="ar"/>
        </w:rPr>
        <w:t>《建设工程工程量清单计价规范》GB 50500</w:t>
      </w:r>
    </w:p>
    <w:p w14:paraId="003B000D">
      <w:pPr>
        <w:pStyle w:val="35"/>
        <w:ind w:firstLine="0" w:firstLineChars="0"/>
        <w:rPr>
          <w:rFonts w:ascii="Times New Roman" w:hAnsi="Times New Roman"/>
        </w:rPr>
      </w:pPr>
      <w:r>
        <w:rPr>
          <w:rFonts w:hint="eastAsia" w:ascii="Times New Roman" w:hAnsi="Times New Roman"/>
          <w:lang w:val="en-US" w:eastAsia="zh-CN"/>
        </w:rPr>
        <w:t>7</w:t>
      </w:r>
      <w:r>
        <w:rPr>
          <w:rFonts w:hint="eastAsia" w:ascii="Times New Roman" w:hAnsi="Times New Roman"/>
        </w:rPr>
        <w:t>.</w:t>
      </w:r>
      <w:r>
        <w:rPr>
          <w:rFonts w:ascii="Times New Roman" w:hAnsi="Times New Roman"/>
        </w:rPr>
        <w:t>《建筑施工组织设计规范》GB/T 50502</w:t>
      </w:r>
      <w:bookmarkStart w:id="1190" w:name="_GoBack"/>
      <w:bookmarkEnd w:id="1190"/>
    </w:p>
    <w:p w14:paraId="56A9035E">
      <w:pPr>
        <w:pStyle w:val="35"/>
        <w:ind w:firstLine="0" w:firstLineChars="0"/>
        <w:rPr>
          <w:rFonts w:ascii="Times New Roman" w:hAnsi="Times New Roman"/>
          <w:kern w:val="0"/>
          <w:szCs w:val="21"/>
          <w:lang w:bidi="ar"/>
        </w:rPr>
      </w:pPr>
      <w:r>
        <w:rPr>
          <w:rFonts w:hint="eastAsia" w:ascii="Times New Roman" w:hAnsi="Times New Roman"/>
        </w:rPr>
        <w:t>8.</w:t>
      </w:r>
      <w:r>
        <w:rPr>
          <w:rFonts w:ascii="Times New Roman" w:hAnsi="Times New Roman"/>
        </w:rPr>
        <w:t>《招标投标电子文件归档规范》DA/T 103</w:t>
      </w:r>
    </w:p>
    <w:p w14:paraId="2CF310BB">
      <w:pPr>
        <w:pStyle w:val="2"/>
      </w:pPr>
      <w:r>
        <w:rPr>
          <w:color w:val="000000"/>
          <w:sz w:val="24"/>
        </w:rPr>
        <w:br w:type="page"/>
      </w:r>
      <w:bookmarkStart w:id="48" w:name="_Toc1555144437"/>
      <w:bookmarkStart w:id="49" w:name="_Toc2066460073"/>
      <w:bookmarkStart w:id="50" w:name="_Toc374112876"/>
      <w:bookmarkStart w:id="51" w:name="_Toc141985657"/>
      <w:bookmarkStart w:id="52" w:name="_Toc875600875"/>
      <w:bookmarkStart w:id="53" w:name="_Toc1212128615"/>
      <w:bookmarkStart w:id="54" w:name="_Toc1684183424"/>
      <w:bookmarkStart w:id="55" w:name="_Toc231665503"/>
      <w:bookmarkStart w:id="56" w:name="_Toc1860535454"/>
      <w:r>
        <w:rPr>
          <w:color w:val="000000"/>
          <w:szCs w:val="32"/>
        </w:rPr>
        <w:t xml:space="preserve">3 </w:t>
      </w:r>
      <w:r>
        <w:t xml:space="preserve"> 基本规定</w:t>
      </w:r>
      <w:bookmarkEnd w:id="48"/>
      <w:bookmarkEnd w:id="49"/>
      <w:bookmarkEnd w:id="50"/>
      <w:bookmarkEnd w:id="51"/>
      <w:bookmarkEnd w:id="52"/>
      <w:bookmarkEnd w:id="53"/>
      <w:bookmarkEnd w:id="54"/>
      <w:bookmarkEnd w:id="55"/>
      <w:bookmarkEnd w:id="56"/>
    </w:p>
    <w:p w14:paraId="03D598C6">
      <w:pPr>
        <w:pStyle w:val="3"/>
      </w:pPr>
      <w:bookmarkStart w:id="57" w:name="_Toc648904524"/>
      <w:bookmarkStart w:id="58" w:name="_Toc20765213"/>
      <w:bookmarkStart w:id="59" w:name="_Toc231665504"/>
      <w:bookmarkStart w:id="60" w:name="_Toc920142142"/>
      <w:bookmarkStart w:id="61" w:name="_Toc2121659804"/>
      <w:bookmarkStart w:id="62" w:name="_Toc762551911"/>
      <w:bookmarkStart w:id="63" w:name="_Toc2038015815"/>
      <w:bookmarkStart w:id="64" w:name="_Toc1399444528"/>
      <w:bookmarkStart w:id="65" w:name="_Toc1195382819"/>
      <w:r>
        <w:rPr>
          <w:color w:val="000000"/>
          <w:szCs w:val="32"/>
        </w:rPr>
        <w:t xml:space="preserve">3.1  </w:t>
      </w:r>
      <w:r>
        <w:t>基本原则</w:t>
      </w:r>
      <w:bookmarkEnd w:id="57"/>
      <w:bookmarkEnd w:id="58"/>
      <w:bookmarkEnd w:id="59"/>
      <w:bookmarkEnd w:id="60"/>
      <w:bookmarkEnd w:id="61"/>
      <w:bookmarkEnd w:id="62"/>
      <w:bookmarkEnd w:id="63"/>
      <w:bookmarkEnd w:id="64"/>
      <w:bookmarkEnd w:id="65"/>
    </w:p>
    <w:p w14:paraId="3452984E">
      <w:pPr>
        <w:rPr>
          <w:rFonts w:ascii="Times New Roman" w:hAnsi="Times New Roman"/>
        </w:rPr>
      </w:pPr>
      <w:r>
        <w:rPr>
          <w:rFonts w:ascii="Times New Roman" w:hAnsi="Times New Roman"/>
          <w:b/>
        </w:rPr>
        <w:t>3.1.1</w:t>
      </w:r>
      <w:r>
        <w:rPr>
          <w:rFonts w:ascii="Times New Roman" w:hAnsi="Times New Roman"/>
        </w:rPr>
        <w:t xml:space="preserve">  建设工程招标投标履约管理应遵循以下基本原则：</w:t>
      </w:r>
    </w:p>
    <w:p w14:paraId="5FA9C0E6">
      <w:pPr>
        <w:ind w:firstLine="420"/>
        <w:rPr>
          <w:rFonts w:ascii="Times New Roman" w:hAnsi="Times New Roman"/>
        </w:rPr>
      </w:pPr>
      <w:r>
        <w:rPr>
          <w:rFonts w:ascii="Times New Roman" w:hAnsi="Times New Roman"/>
        </w:rPr>
        <w:t>1  依法合规：履约管理活动应符合法律法规、规章及规范性文件的要求；</w:t>
      </w:r>
    </w:p>
    <w:p w14:paraId="0E5A2C39">
      <w:pPr>
        <w:ind w:firstLine="420"/>
        <w:rPr>
          <w:rFonts w:ascii="Times New Roman" w:hAnsi="Times New Roman"/>
        </w:rPr>
      </w:pPr>
      <w:r>
        <w:rPr>
          <w:rFonts w:ascii="Times New Roman" w:hAnsi="Times New Roman"/>
        </w:rPr>
        <w:t>2  全面履行：合同双方应按照合同约定全面履行各自义务；</w:t>
      </w:r>
    </w:p>
    <w:p w14:paraId="345F3311">
      <w:pPr>
        <w:ind w:firstLine="420"/>
        <w:rPr>
          <w:rFonts w:ascii="Times New Roman" w:hAnsi="Times New Roman"/>
        </w:rPr>
      </w:pPr>
      <w:r>
        <w:rPr>
          <w:rFonts w:ascii="Times New Roman" w:hAnsi="Times New Roman"/>
        </w:rPr>
        <w:t>3  过程控制：对合同履行全过程实施动态管理和控制；</w:t>
      </w:r>
    </w:p>
    <w:p w14:paraId="4336DB08">
      <w:pPr>
        <w:ind w:firstLine="420"/>
        <w:rPr>
          <w:rFonts w:ascii="Times New Roman" w:hAnsi="Times New Roman"/>
        </w:rPr>
      </w:pPr>
      <w:r>
        <w:rPr>
          <w:rFonts w:ascii="Times New Roman" w:hAnsi="Times New Roman"/>
        </w:rPr>
        <w:t>4  闭环管理：建立计划、检查、整改、验收、评价的管理闭环。</w:t>
      </w:r>
    </w:p>
    <w:p w14:paraId="2A7DA32A">
      <w:pPr>
        <w:pStyle w:val="3"/>
      </w:pPr>
      <w:bookmarkStart w:id="66" w:name="_Toc1620437710"/>
      <w:bookmarkStart w:id="67" w:name="_Toc1529942359"/>
      <w:bookmarkStart w:id="68" w:name="_Toc1016996973"/>
      <w:bookmarkStart w:id="69" w:name="_Toc231665505"/>
      <w:bookmarkStart w:id="70" w:name="_Toc1844967863"/>
      <w:bookmarkStart w:id="71" w:name="_Toc289673479"/>
      <w:bookmarkStart w:id="72" w:name="_Toc541357712"/>
      <w:bookmarkStart w:id="73" w:name="_Toc1006429385"/>
      <w:bookmarkStart w:id="74" w:name="_Toc75715203"/>
      <w:r>
        <w:rPr>
          <w:color w:val="000000"/>
          <w:szCs w:val="32"/>
        </w:rPr>
        <w:t xml:space="preserve">3.2  </w:t>
      </w:r>
      <w:r>
        <w:t>管理目标</w:t>
      </w:r>
      <w:bookmarkEnd w:id="66"/>
      <w:bookmarkEnd w:id="67"/>
      <w:bookmarkEnd w:id="68"/>
      <w:bookmarkEnd w:id="69"/>
      <w:bookmarkEnd w:id="70"/>
      <w:bookmarkEnd w:id="71"/>
      <w:bookmarkEnd w:id="72"/>
      <w:bookmarkEnd w:id="73"/>
      <w:bookmarkEnd w:id="74"/>
    </w:p>
    <w:p w14:paraId="30E95342">
      <w:pPr>
        <w:rPr>
          <w:rFonts w:ascii="Times New Roman" w:hAnsi="Times New Roman"/>
        </w:rPr>
      </w:pPr>
      <w:r>
        <w:rPr>
          <w:rFonts w:ascii="Times New Roman" w:hAnsi="Times New Roman"/>
          <w:b/>
        </w:rPr>
        <w:t>3.2.1</w:t>
      </w:r>
      <w:r>
        <w:rPr>
          <w:rFonts w:ascii="Times New Roman" w:hAnsi="Times New Roman"/>
        </w:rPr>
        <w:t xml:space="preserve">  履约管理的总体目标是确保合同约定全面履行、投标承诺如实兑现，实现合同履约管理与市场信用体系的有效联动。</w:t>
      </w:r>
    </w:p>
    <w:p w14:paraId="022BCC05">
      <w:pPr>
        <w:rPr>
          <w:rFonts w:ascii="Times New Roman" w:hAnsi="Times New Roman"/>
        </w:rPr>
      </w:pPr>
      <w:r>
        <w:rPr>
          <w:rFonts w:ascii="Times New Roman" w:hAnsi="Times New Roman"/>
          <w:b/>
        </w:rPr>
        <w:t>3.2.2</w:t>
      </w:r>
      <w:r>
        <w:rPr>
          <w:rFonts w:ascii="Times New Roman" w:hAnsi="Times New Roman"/>
        </w:rPr>
        <w:t xml:space="preserve">  履约管理应实现以下具体目标：</w:t>
      </w:r>
    </w:p>
    <w:p w14:paraId="653E8267">
      <w:pPr>
        <w:ind w:firstLine="420"/>
        <w:rPr>
          <w:rFonts w:ascii="Times New Roman" w:hAnsi="Times New Roman"/>
        </w:rPr>
      </w:pPr>
      <w:r>
        <w:rPr>
          <w:rFonts w:ascii="Times New Roman" w:hAnsi="Times New Roman"/>
        </w:rPr>
        <w:t>1  合同约定的质量、安全、进度、费用等核心目标有效达成；</w:t>
      </w:r>
    </w:p>
    <w:p w14:paraId="2A1D982A">
      <w:pPr>
        <w:ind w:firstLine="420"/>
        <w:rPr>
          <w:rFonts w:ascii="Times New Roman" w:hAnsi="Times New Roman"/>
        </w:rPr>
      </w:pPr>
      <w:r>
        <w:rPr>
          <w:rFonts w:ascii="Times New Roman" w:hAnsi="Times New Roman"/>
        </w:rPr>
        <w:t>2  投标承诺的主要人员、技术资源、设备设施等关键要素按时足额投入并持续满足要求；</w:t>
      </w:r>
    </w:p>
    <w:p w14:paraId="4C635F92">
      <w:pPr>
        <w:ind w:firstLine="420"/>
        <w:rPr>
          <w:rFonts w:ascii="Times New Roman" w:hAnsi="Times New Roman"/>
        </w:rPr>
      </w:pPr>
      <w:r>
        <w:rPr>
          <w:rFonts w:ascii="Times New Roman" w:hAnsi="Times New Roman"/>
        </w:rPr>
        <w:t>3  合同变更、索赔、争议等事项依法依规及时处理；</w:t>
      </w:r>
    </w:p>
    <w:p w14:paraId="1B56357D">
      <w:pPr>
        <w:ind w:firstLine="420"/>
        <w:rPr>
          <w:rFonts w:ascii="Times New Roman" w:hAnsi="Times New Roman"/>
        </w:rPr>
      </w:pPr>
      <w:r>
        <w:rPr>
          <w:rFonts w:ascii="Times New Roman" w:hAnsi="Times New Roman"/>
        </w:rPr>
        <w:t>4  履约过程记录完整可追溯，为履约验收和结算提供可靠依据；</w:t>
      </w:r>
    </w:p>
    <w:p w14:paraId="554EC0E5">
      <w:pPr>
        <w:ind w:firstLine="420"/>
        <w:rPr>
          <w:rFonts w:ascii="Times New Roman" w:hAnsi="Times New Roman"/>
        </w:rPr>
      </w:pPr>
      <w:r>
        <w:rPr>
          <w:rFonts w:ascii="Times New Roman" w:hAnsi="Times New Roman"/>
        </w:rPr>
        <w:t>5  履约评价结果真实反映承包人履约表现，与市场信用体系有效衔接。</w:t>
      </w:r>
    </w:p>
    <w:p w14:paraId="494AEBC8">
      <w:pPr>
        <w:pStyle w:val="3"/>
      </w:pPr>
      <w:bookmarkStart w:id="75" w:name="_Toc231665506"/>
      <w:bookmarkStart w:id="76" w:name="_Toc737540052"/>
      <w:bookmarkStart w:id="77" w:name="_Toc424717145"/>
      <w:bookmarkStart w:id="78" w:name="_Toc1992593959"/>
      <w:bookmarkStart w:id="79" w:name="_Toc1553069544"/>
      <w:bookmarkStart w:id="80" w:name="_Toc785038084"/>
      <w:bookmarkStart w:id="81" w:name="_Toc669889984"/>
      <w:bookmarkStart w:id="82" w:name="_Toc2057710865"/>
      <w:bookmarkStart w:id="83" w:name="_Toc1639469153"/>
      <w:r>
        <w:rPr>
          <w:color w:val="000000"/>
          <w:szCs w:val="32"/>
        </w:rPr>
        <w:t xml:space="preserve">3.3  </w:t>
      </w:r>
      <w:r>
        <w:t>管理依据</w:t>
      </w:r>
      <w:bookmarkEnd w:id="75"/>
      <w:bookmarkEnd w:id="76"/>
      <w:bookmarkEnd w:id="77"/>
      <w:bookmarkEnd w:id="78"/>
      <w:bookmarkEnd w:id="79"/>
      <w:bookmarkEnd w:id="80"/>
      <w:bookmarkEnd w:id="81"/>
      <w:bookmarkEnd w:id="82"/>
      <w:bookmarkEnd w:id="83"/>
    </w:p>
    <w:p w14:paraId="5A442249">
      <w:pPr>
        <w:adjustRightInd w:val="0"/>
        <w:snapToGrid w:val="0"/>
        <w:rPr>
          <w:rFonts w:ascii="Times New Roman" w:hAnsi="Times New Roman"/>
        </w:rPr>
      </w:pPr>
      <w:r>
        <w:rPr>
          <w:rFonts w:ascii="Times New Roman" w:hAnsi="Times New Roman"/>
          <w:b/>
        </w:rPr>
        <w:t>3.3.1</w:t>
      </w:r>
      <w:r>
        <w:rPr>
          <w:rFonts w:ascii="Times New Roman" w:hAnsi="Times New Roman"/>
        </w:rPr>
        <w:t xml:space="preserve">  </w:t>
      </w:r>
      <w:r>
        <w:rPr>
          <w:rFonts w:hint="eastAsia" w:ascii="Times New Roman" w:hAnsi="Times New Roman"/>
        </w:rPr>
        <w:t>履约管理的依据为：</w:t>
      </w:r>
    </w:p>
    <w:p w14:paraId="02E42111">
      <w:pPr>
        <w:adjustRightInd w:val="0"/>
        <w:snapToGrid w:val="0"/>
        <w:ind w:firstLine="480" w:firstLineChars="200"/>
        <w:rPr>
          <w:rFonts w:ascii="Times New Roman" w:hAnsi="Times New Roman"/>
        </w:rPr>
      </w:pPr>
      <w:r>
        <w:rPr>
          <w:rFonts w:hint="eastAsia" w:ascii="Times New Roman" w:hAnsi="Times New Roman"/>
        </w:rPr>
        <w:t>1  法律法规、规章及规范性文件；</w:t>
      </w:r>
    </w:p>
    <w:p w14:paraId="04D534CA">
      <w:pPr>
        <w:adjustRightInd w:val="0"/>
        <w:snapToGrid w:val="0"/>
        <w:ind w:firstLine="480" w:firstLineChars="200"/>
        <w:rPr>
          <w:rFonts w:ascii="Times New Roman" w:hAnsi="Times New Roman"/>
        </w:rPr>
      </w:pPr>
      <w:r>
        <w:rPr>
          <w:rFonts w:hint="eastAsia" w:ascii="Times New Roman" w:hAnsi="Times New Roman"/>
        </w:rPr>
        <w:t>2  国家、行业及地方工程建设标准、规范；</w:t>
      </w:r>
    </w:p>
    <w:p w14:paraId="0256D1ED">
      <w:pPr>
        <w:adjustRightInd w:val="0"/>
        <w:snapToGrid w:val="0"/>
        <w:ind w:firstLine="480" w:firstLineChars="200"/>
        <w:rPr>
          <w:rFonts w:ascii="Times New Roman" w:hAnsi="Times New Roman"/>
        </w:rPr>
      </w:pPr>
      <w:r>
        <w:rPr>
          <w:rFonts w:hint="eastAsia" w:ascii="Times New Roman" w:hAnsi="Times New Roman"/>
        </w:rPr>
        <w:t>3  招标文件、中标通知书、投标文件及合同文件</w:t>
      </w:r>
      <w:r>
        <w:rPr>
          <w:rFonts w:ascii="Times New Roman" w:hAnsi="Times New Roman"/>
        </w:rPr>
        <w:t>。</w:t>
      </w:r>
    </w:p>
    <w:p w14:paraId="57C01F78">
      <w:pPr>
        <w:pStyle w:val="3"/>
      </w:pPr>
      <w:bookmarkStart w:id="84" w:name="_Toc1700288587"/>
      <w:bookmarkStart w:id="85" w:name="_Toc982830917"/>
      <w:bookmarkStart w:id="86" w:name="_Toc621498622"/>
      <w:bookmarkStart w:id="87" w:name="_Toc1718322771"/>
      <w:bookmarkStart w:id="88" w:name="_Toc111966233"/>
      <w:bookmarkStart w:id="89" w:name="_Toc145009165"/>
      <w:bookmarkStart w:id="90" w:name="_Toc1625178468"/>
      <w:bookmarkStart w:id="91" w:name="_Toc641018635"/>
      <w:bookmarkStart w:id="92" w:name="_Toc231665507"/>
      <w:r>
        <w:rPr>
          <w:color w:val="000000"/>
          <w:szCs w:val="32"/>
        </w:rPr>
        <w:t xml:space="preserve">3.4  </w:t>
      </w:r>
      <w:r>
        <w:t>各方职责</w:t>
      </w:r>
      <w:bookmarkEnd w:id="84"/>
      <w:bookmarkEnd w:id="85"/>
      <w:bookmarkEnd w:id="86"/>
      <w:bookmarkEnd w:id="87"/>
      <w:bookmarkEnd w:id="88"/>
      <w:bookmarkEnd w:id="89"/>
      <w:bookmarkEnd w:id="90"/>
      <w:bookmarkEnd w:id="91"/>
      <w:bookmarkEnd w:id="92"/>
    </w:p>
    <w:p w14:paraId="008419E4">
      <w:pPr>
        <w:rPr>
          <w:rFonts w:ascii="Times New Roman" w:hAnsi="Times New Roman"/>
        </w:rPr>
      </w:pPr>
      <w:r>
        <w:rPr>
          <w:rFonts w:ascii="Times New Roman" w:hAnsi="Times New Roman"/>
          <w:b/>
        </w:rPr>
        <w:t>3.4.1</w:t>
      </w:r>
      <w:r>
        <w:rPr>
          <w:rFonts w:hint="eastAsia" w:ascii="Times New Roman" w:hAnsi="Times New Roman"/>
          <w:b/>
        </w:rPr>
        <w:t xml:space="preserve">  </w:t>
      </w:r>
      <w:r>
        <w:rPr>
          <w:rFonts w:hint="eastAsia" w:ascii="Times New Roman" w:hAnsi="Times New Roman"/>
        </w:rPr>
        <w:t>发包人应当建立履约管理制度，指定专门机构和人员负责履约管理，定期组织履约检查，对发现的问题督促整改并跟踪落实。发包人可委托第三方咨询单位协助履约管理。</w:t>
      </w:r>
    </w:p>
    <w:p w14:paraId="66E1F480">
      <w:pPr>
        <w:ind w:firstLine="480" w:firstLineChars="200"/>
        <w:rPr>
          <w:rFonts w:ascii="Times New Roman" w:hAnsi="Times New Roman"/>
        </w:rPr>
      </w:pPr>
      <w:r>
        <w:rPr>
          <w:rFonts w:hint="eastAsia" w:ascii="Times New Roman" w:hAnsi="Times New Roman"/>
        </w:rPr>
        <w:t>1  施工项目发包人应建立履约管理岗位体系，除发包人代表外，可根据项目需求配备合同管理、施工管理、造价管理、资料管理等岗位。</w:t>
      </w:r>
    </w:p>
    <w:p w14:paraId="056DC6F2">
      <w:pPr>
        <w:ind w:firstLine="480" w:firstLineChars="200"/>
        <w:rPr>
          <w:rFonts w:ascii="Times New Roman" w:hAnsi="Times New Roman"/>
        </w:rPr>
      </w:pPr>
      <w:r>
        <w:rPr>
          <w:rFonts w:hint="eastAsia" w:ascii="Times New Roman" w:hAnsi="Times New Roman"/>
        </w:rPr>
        <w:t>发包人另行委托第三方进行全过程工程咨询、代建服务、监理或其他专项咨询服务的，可根据委托合同约定授权第三方设立上述岗位。</w:t>
      </w:r>
    </w:p>
    <w:p w14:paraId="5F75D4D4">
      <w:pPr>
        <w:ind w:firstLine="480" w:firstLineChars="200"/>
        <w:rPr>
          <w:rFonts w:ascii="Times New Roman" w:hAnsi="Times New Roman"/>
        </w:rPr>
      </w:pPr>
      <w:r>
        <w:rPr>
          <w:rFonts w:hint="eastAsia" w:ascii="Times New Roman" w:hAnsi="Times New Roman"/>
        </w:rPr>
        <w:t>2  工程总承包项目发包人应当建立履约管理岗位体系，发包人人员包括发包人代表、工程师及其他由发包人派驻施工现场的人员，发包人可以在专用合同条件中明确发包人人员的姓名、职务及职责等事项。</w:t>
      </w:r>
    </w:p>
    <w:p w14:paraId="4672BB95">
      <w:pPr>
        <w:ind w:firstLine="480" w:firstLineChars="200"/>
        <w:rPr>
          <w:rFonts w:hint="eastAsia" w:ascii="Times New Roman" w:hAnsi="Times New Roman"/>
        </w:rPr>
      </w:pPr>
      <w:r>
        <w:rPr>
          <w:rFonts w:hint="eastAsia" w:ascii="Times New Roman" w:hAnsi="Times New Roman"/>
        </w:rPr>
        <w:t>发包人宜根据项目需求配备设计审查岗位，受发包人委派或授权，通过审查确保设计输出符合发包人要求；其主要工作内容包括对设计进度、设计质量、设计变更进行跟踪和审查，对主要材料设备参数确认，设计成果确认等。</w:t>
      </w:r>
    </w:p>
    <w:p w14:paraId="0485E4CB">
      <w:pPr>
        <w:ind w:firstLine="480" w:firstLineChars="200"/>
        <w:rPr>
          <w:rFonts w:hint="eastAsia" w:ascii="Times New Roman" w:hAnsi="Times New Roman"/>
        </w:rPr>
      </w:pPr>
      <w:r>
        <w:rPr>
          <w:rFonts w:hint="eastAsia" w:ascii="Times New Roman" w:hAnsi="Times New Roman"/>
        </w:rPr>
        <w:t xml:space="preserve">3.4.2  发包人在履约管理中的职责应包括： </w:t>
      </w:r>
    </w:p>
    <w:p w14:paraId="1FA70043">
      <w:pPr>
        <w:ind w:firstLine="480" w:firstLineChars="200"/>
        <w:rPr>
          <w:rFonts w:hint="eastAsia" w:ascii="Times New Roman" w:hAnsi="Times New Roman"/>
        </w:rPr>
      </w:pPr>
      <w:r>
        <w:rPr>
          <w:rFonts w:hint="eastAsia" w:ascii="Times New Roman" w:hAnsi="Times New Roman"/>
        </w:rPr>
        <w:t xml:space="preserve">1  组织履约清单编制与交底； </w:t>
      </w:r>
    </w:p>
    <w:p w14:paraId="64C1CCE0">
      <w:pPr>
        <w:ind w:firstLine="480" w:firstLineChars="200"/>
        <w:rPr>
          <w:rFonts w:hint="eastAsia" w:ascii="Times New Roman" w:hAnsi="Times New Roman"/>
        </w:rPr>
      </w:pPr>
      <w:r>
        <w:rPr>
          <w:rFonts w:hint="eastAsia" w:ascii="Times New Roman" w:hAnsi="Times New Roman"/>
        </w:rPr>
        <w:t>2  按照合同约定及时办理合同履行所需的行政审批手续，提供合同约定的工作条件和交接界面。施工项目应及时办理施工许可证；</w:t>
      </w:r>
    </w:p>
    <w:p w14:paraId="79DD929A">
      <w:pPr>
        <w:ind w:firstLine="480" w:firstLineChars="200"/>
        <w:rPr>
          <w:rFonts w:hint="eastAsia" w:ascii="Times New Roman" w:hAnsi="Times New Roman"/>
        </w:rPr>
      </w:pPr>
      <w:r>
        <w:rPr>
          <w:rFonts w:hint="eastAsia" w:ascii="Times New Roman" w:hAnsi="Times New Roman"/>
        </w:rPr>
        <w:t>3  组织技术交底；</w:t>
      </w:r>
    </w:p>
    <w:p w14:paraId="444E06FF">
      <w:pPr>
        <w:numPr>
          <w:ilvl w:val="0"/>
          <w:numId w:val="1"/>
        </w:numPr>
        <w:ind w:firstLine="720" w:firstLineChars="3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施工项目</w:t>
      </w:r>
      <w:r>
        <w:rPr>
          <w:rFonts w:hint="eastAsia" w:ascii="Times New Roman" w:hAnsi="Times New Roman"/>
          <w:color w:val="000000" w:themeColor="text1"/>
          <w14:textFill>
            <w14:solidFill>
              <w14:schemeClr w14:val="tx1"/>
            </w14:solidFill>
          </w14:textFill>
        </w:rPr>
        <w:t>应组织</w:t>
      </w:r>
      <w:r>
        <w:rPr>
          <w:rFonts w:ascii="Times New Roman" w:hAnsi="Times New Roman"/>
          <w:color w:val="000000" w:themeColor="text1"/>
          <w14:textFill>
            <w14:solidFill>
              <w14:schemeClr w14:val="tx1"/>
            </w14:solidFill>
          </w14:textFill>
        </w:rPr>
        <w:t>施工图纸及技术交底；</w:t>
      </w:r>
    </w:p>
    <w:p w14:paraId="006F3198">
      <w:pPr>
        <w:numPr>
          <w:ilvl w:val="0"/>
          <w:numId w:val="1"/>
        </w:numPr>
        <w:ind w:firstLine="720" w:firstLineChars="3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工程总承包项目</w:t>
      </w:r>
      <w:r>
        <w:rPr>
          <w:rFonts w:hint="eastAsia" w:ascii="Times New Roman" w:hAnsi="Times New Roman"/>
          <w:color w:val="000000" w:themeColor="text1"/>
          <w14:textFill>
            <w14:solidFill>
              <w14:schemeClr w14:val="tx1"/>
            </w14:solidFill>
          </w14:textFill>
        </w:rPr>
        <w:t>应</w:t>
      </w:r>
      <w:r>
        <w:rPr>
          <w:rFonts w:ascii="Times New Roman" w:hAnsi="Times New Roman"/>
          <w:color w:val="000000" w:themeColor="text1"/>
          <w14:textFill>
            <w14:solidFill>
              <w14:schemeClr w14:val="tx1"/>
            </w14:solidFill>
          </w14:textFill>
        </w:rPr>
        <w:t>组织《发包人要求》交底及组织审查</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确认《经审查的承包人建议书》</w:t>
      </w:r>
    </w:p>
    <w:p w14:paraId="44CE363C">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w:t>
      </w:r>
      <w:r>
        <w:rPr>
          <w:rFonts w:ascii="Times New Roman" w:hAnsi="Times New Roman"/>
          <w:color w:val="0000FF"/>
        </w:rPr>
        <w:t xml:space="preserve"> </w:t>
      </w:r>
      <w:r>
        <w:rPr>
          <w:rFonts w:hint="eastAsia" w:ascii="Times New Roman" w:hAnsi="Times New Roman"/>
          <w:color w:val="0000FF"/>
        </w:rPr>
        <w:t xml:space="preserve"> </w:t>
      </w:r>
      <w:r>
        <w:rPr>
          <w:rFonts w:ascii="Times New Roman" w:hAnsi="Times New Roman"/>
          <w:color w:val="000000" w:themeColor="text1"/>
          <w14:textFill>
            <w14:solidFill>
              <w14:schemeClr w14:val="tx1"/>
            </w14:solidFill>
          </w14:textFill>
        </w:rPr>
        <w:t>按照约定拨付合同价款；</w:t>
      </w:r>
    </w:p>
    <w:p w14:paraId="36038779">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w:t>
      </w:r>
      <w:r>
        <w:rPr>
          <w:rFonts w:ascii="Times New Roman" w:hAnsi="Times New Roman"/>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对承包人的合同履约行为实施全过程监督，处理变更审批及协调处理履约过程中的有关问题；</w:t>
      </w:r>
    </w:p>
    <w:p w14:paraId="4070EC92">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6</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勘察、设计项目</w:t>
      </w:r>
      <w:r>
        <w:rPr>
          <w:rFonts w:ascii="Times New Roman" w:hAnsi="Times New Roman"/>
          <w:color w:val="000000" w:themeColor="text1"/>
          <w14:textFill>
            <w14:solidFill>
              <w14:schemeClr w14:val="tx1"/>
            </w14:solidFill>
          </w14:textFill>
        </w:rPr>
        <w:t>组织成果验收；</w:t>
      </w:r>
    </w:p>
    <w:p w14:paraId="47307F0C">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7 </w:t>
      </w:r>
      <w:r>
        <w:rPr>
          <w:rFonts w:ascii="Times New Roman" w:hAnsi="Times New Roman"/>
          <w:color w:val="000000" w:themeColor="text1"/>
          <w14:textFill>
            <w14:solidFill>
              <w14:schemeClr w14:val="tx1"/>
            </w14:solidFill>
          </w14:textFill>
        </w:rPr>
        <w:t xml:space="preserve"> 组织单位工程、整体工程竣工验收；</w:t>
      </w:r>
    </w:p>
    <w:p w14:paraId="2A86B951">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8 </w:t>
      </w:r>
      <w:r>
        <w:rPr>
          <w:rFonts w:ascii="Times New Roman" w:hAnsi="Times New Roman"/>
          <w:color w:val="000000" w:themeColor="text1"/>
          <w14:textFill>
            <w14:solidFill>
              <w14:schemeClr w14:val="tx1"/>
            </w14:solidFill>
          </w14:textFill>
        </w:rPr>
        <w:t xml:space="preserve"> 组织履约验收和评价；</w:t>
      </w:r>
    </w:p>
    <w:p w14:paraId="0D80169F">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9</w:t>
      </w:r>
      <w:r>
        <w:rPr>
          <w:rFonts w:ascii="Times New Roman" w:hAnsi="Times New Roman"/>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办理竣工结算</w:t>
      </w:r>
      <w:r>
        <w:rPr>
          <w:rFonts w:hint="eastAsia" w:ascii="Times New Roman" w:hAnsi="Times New Roman"/>
          <w:color w:val="000000" w:themeColor="text1"/>
          <w14:textFill>
            <w14:solidFill>
              <w14:schemeClr w14:val="tx1"/>
            </w14:solidFill>
          </w14:textFill>
        </w:rPr>
        <w:t>；</w:t>
      </w:r>
    </w:p>
    <w:p w14:paraId="1DFFBC1C">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10  </w:t>
      </w:r>
      <w:r>
        <w:rPr>
          <w:rFonts w:ascii="Times New Roman" w:hAnsi="Times New Roman"/>
          <w:color w:val="000000" w:themeColor="text1"/>
          <w14:textFill>
            <w14:solidFill>
              <w14:schemeClr w14:val="tx1"/>
            </w14:solidFill>
          </w14:textFill>
        </w:rPr>
        <w:t>合同约定</w:t>
      </w:r>
      <w:r>
        <w:rPr>
          <w:rFonts w:hint="eastAsia" w:ascii="Times New Roman" w:hAnsi="Times New Roman"/>
          <w:color w:val="000000" w:themeColor="text1"/>
          <w14:textFill>
            <w14:solidFill>
              <w14:schemeClr w14:val="tx1"/>
            </w14:solidFill>
          </w14:textFill>
        </w:rPr>
        <w:t>的其他履约管理职责。</w:t>
      </w:r>
    </w:p>
    <w:p w14:paraId="5CB1184D">
      <w:pPr>
        <w:rPr>
          <w:rFonts w:ascii="Times New Roman" w:hAnsi="Times New Roman"/>
          <w:color w:val="0000FF"/>
        </w:rPr>
      </w:pPr>
      <w:r>
        <w:rPr>
          <w:rFonts w:hint="eastAsia" w:ascii="Times New Roman" w:hAnsi="Times New Roman"/>
          <w:b/>
          <w:bCs/>
          <w:color w:val="000000" w:themeColor="text1"/>
          <w14:textFill>
            <w14:solidFill>
              <w14:schemeClr w14:val="tx1"/>
            </w14:solidFill>
          </w14:textFill>
        </w:rPr>
        <w:t>3.4.3</w:t>
      </w:r>
      <w:r>
        <w:rPr>
          <w:rFonts w:hint="eastAsia" w:ascii="Times New Roman" w:hAnsi="Times New Roman"/>
          <w:color w:val="000000" w:themeColor="text1"/>
          <w14:textFill>
            <w14:solidFill>
              <w14:schemeClr w14:val="tx1"/>
            </w14:solidFill>
          </w14:textFill>
        </w:rPr>
        <w:t xml:space="preserve">  工程总承包项目发包人应尊重承包人对工程设计、采购、施工的全面负责权，不得越权干预其职责范围内的正常工作。</w:t>
      </w:r>
    </w:p>
    <w:p w14:paraId="10FE3118">
      <w:pPr>
        <w:rPr>
          <w:rFonts w:ascii="Times New Roman" w:hAnsi="Times New Roman"/>
        </w:rPr>
      </w:pPr>
      <w:r>
        <w:rPr>
          <w:rFonts w:hint="eastAsia" w:ascii="Times New Roman" w:hAnsi="Times New Roman"/>
          <w:b/>
          <w:bCs/>
        </w:rPr>
        <w:t>3.4.4</w:t>
      </w:r>
      <w:r>
        <w:rPr>
          <w:rFonts w:hint="eastAsia" w:ascii="Times New Roman" w:hAnsi="Times New Roman"/>
        </w:rPr>
        <w:t xml:space="preserve">  承包人应当配备满足合同要求的各项资源，按照合同约定推进合同实施，配合发包人的履约管理活动</w:t>
      </w:r>
      <w:r>
        <w:rPr>
          <w:rFonts w:ascii="Times New Roman" w:hAnsi="Times New Roman"/>
        </w:rPr>
        <w:t>。</w:t>
      </w:r>
    </w:p>
    <w:p w14:paraId="02AE2783">
      <w:pPr>
        <w:pStyle w:val="3"/>
      </w:pPr>
      <w:bookmarkStart w:id="93" w:name="_Toc1067662150"/>
      <w:bookmarkStart w:id="94" w:name="_Toc406274142"/>
      <w:bookmarkStart w:id="95" w:name="_Toc1380102712"/>
      <w:bookmarkStart w:id="96" w:name="_Toc612330883"/>
      <w:bookmarkStart w:id="97" w:name="_Toc768539274"/>
      <w:bookmarkStart w:id="98" w:name="_Toc1918315264"/>
      <w:bookmarkStart w:id="99" w:name="_Toc1079908341"/>
      <w:bookmarkStart w:id="100" w:name="_Toc231665508"/>
      <w:bookmarkStart w:id="101" w:name="_Toc191681355"/>
      <w:r>
        <w:rPr>
          <w:color w:val="000000"/>
          <w:szCs w:val="32"/>
        </w:rPr>
        <w:t xml:space="preserve">3.5  </w:t>
      </w:r>
      <w:r>
        <w:t>管理程序</w:t>
      </w:r>
      <w:bookmarkEnd w:id="93"/>
      <w:bookmarkEnd w:id="94"/>
      <w:bookmarkEnd w:id="95"/>
      <w:bookmarkEnd w:id="96"/>
      <w:bookmarkEnd w:id="97"/>
      <w:bookmarkEnd w:id="98"/>
      <w:bookmarkEnd w:id="99"/>
      <w:bookmarkEnd w:id="100"/>
      <w:bookmarkEnd w:id="101"/>
    </w:p>
    <w:p w14:paraId="6E2E6C22">
      <w:pPr>
        <w:rPr>
          <w:rFonts w:ascii="Times New Roman" w:hAnsi="Times New Roman"/>
        </w:rPr>
      </w:pPr>
      <w:r>
        <w:rPr>
          <w:rFonts w:ascii="Times New Roman" w:hAnsi="Times New Roman"/>
          <w:b/>
        </w:rPr>
        <w:t>3.5.1</w:t>
      </w:r>
      <w:r>
        <w:rPr>
          <w:rFonts w:ascii="Times New Roman" w:hAnsi="Times New Roman"/>
        </w:rPr>
        <w:t xml:space="preserve">  履约管理应当包括以下基本程序：</w:t>
      </w:r>
    </w:p>
    <w:p w14:paraId="05F74041">
      <w:pPr>
        <w:ind w:firstLine="480" w:firstLineChars="200"/>
        <w:rPr>
          <w:rFonts w:ascii="Times New Roman" w:hAnsi="Times New Roman"/>
        </w:rPr>
      </w:pPr>
      <w:r>
        <w:rPr>
          <w:rFonts w:ascii="Times New Roman" w:hAnsi="Times New Roman"/>
        </w:rPr>
        <w:t>1  履约清单编制与交底；</w:t>
      </w:r>
    </w:p>
    <w:p w14:paraId="7968B761">
      <w:pPr>
        <w:ind w:firstLine="480" w:firstLineChars="200"/>
        <w:rPr>
          <w:rFonts w:ascii="Times New Roman" w:hAnsi="Times New Roman"/>
        </w:rPr>
      </w:pPr>
      <w:r>
        <w:rPr>
          <w:rFonts w:ascii="Times New Roman" w:hAnsi="Times New Roman"/>
        </w:rPr>
        <w:t>2  过程检查与记录；</w:t>
      </w:r>
    </w:p>
    <w:p w14:paraId="4150062A">
      <w:pPr>
        <w:ind w:firstLine="480" w:firstLineChars="200"/>
        <w:rPr>
          <w:rFonts w:ascii="Times New Roman" w:hAnsi="Times New Roman"/>
        </w:rPr>
      </w:pPr>
      <w:r>
        <w:rPr>
          <w:rFonts w:ascii="Times New Roman" w:hAnsi="Times New Roman"/>
        </w:rPr>
        <w:t>3  问题识别与整改；</w:t>
      </w:r>
    </w:p>
    <w:p w14:paraId="360951E6">
      <w:pPr>
        <w:ind w:firstLine="480" w:firstLineChars="200"/>
        <w:rPr>
          <w:rFonts w:ascii="Times New Roman" w:hAnsi="Times New Roman"/>
        </w:rPr>
      </w:pPr>
      <w:r>
        <w:rPr>
          <w:rFonts w:ascii="Times New Roman" w:hAnsi="Times New Roman"/>
        </w:rPr>
        <w:t>4  成果交付与履约验收；</w:t>
      </w:r>
    </w:p>
    <w:p w14:paraId="1E97B9D3">
      <w:pPr>
        <w:ind w:firstLine="480" w:firstLineChars="200"/>
        <w:rPr>
          <w:rFonts w:ascii="Times New Roman" w:hAnsi="Times New Roman"/>
        </w:rPr>
      </w:pPr>
      <w:r>
        <w:rPr>
          <w:rFonts w:ascii="Times New Roman" w:hAnsi="Times New Roman"/>
        </w:rPr>
        <w:t>5  履约评价与信用联动。</w:t>
      </w:r>
    </w:p>
    <w:p w14:paraId="3DC0A241">
      <w:pPr>
        <w:pStyle w:val="2"/>
      </w:pPr>
      <w:r>
        <w:rPr>
          <w:color w:val="000000"/>
          <w:sz w:val="24"/>
        </w:rPr>
        <w:br w:type="page"/>
      </w:r>
      <w:bookmarkStart w:id="102" w:name="_Toc1708858281"/>
      <w:bookmarkStart w:id="103" w:name="_Toc272524859"/>
      <w:bookmarkStart w:id="104" w:name="_Toc147935467"/>
      <w:bookmarkStart w:id="105" w:name="_Toc1679164085"/>
      <w:bookmarkStart w:id="106" w:name="_Toc848067566"/>
      <w:bookmarkStart w:id="107" w:name="_Toc231665509"/>
      <w:bookmarkStart w:id="108" w:name="_Toc535671131"/>
      <w:bookmarkStart w:id="109" w:name="_Toc1781475610"/>
      <w:bookmarkStart w:id="110" w:name="_Toc758664375"/>
      <w:r>
        <w:rPr>
          <w:color w:val="000000"/>
          <w:szCs w:val="32"/>
        </w:rPr>
        <w:t xml:space="preserve">4 </w:t>
      </w:r>
      <w:r>
        <w:t xml:space="preserve"> 合同订立与履约准备管理</w:t>
      </w:r>
      <w:bookmarkEnd w:id="102"/>
      <w:bookmarkEnd w:id="103"/>
      <w:bookmarkEnd w:id="104"/>
      <w:bookmarkEnd w:id="105"/>
      <w:bookmarkEnd w:id="106"/>
      <w:bookmarkEnd w:id="107"/>
      <w:bookmarkEnd w:id="108"/>
      <w:bookmarkEnd w:id="109"/>
      <w:bookmarkEnd w:id="110"/>
    </w:p>
    <w:p w14:paraId="221D5FD9">
      <w:pPr>
        <w:pStyle w:val="3"/>
      </w:pPr>
      <w:bookmarkStart w:id="111" w:name="_Toc1782923623"/>
      <w:bookmarkStart w:id="112" w:name="_Toc492342179"/>
      <w:bookmarkStart w:id="113" w:name="_Toc231665510"/>
      <w:bookmarkStart w:id="114" w:name="_Toc2036118096"/>
      <w:bookmarkStart w:id="115" w:name="_Toc281528650"/>
      <w:bookmarkStart w:id="116" w:name="_Toc1068894543"/>
      <w:bookmarkStart w:id="117" w:name="_Toc756560970"/>
      <w:bookmarkStart w:id="118" w:name="_Toc1260859716"/>
      <w:bookmarkStart w:id="119" w:name="_Toc771856565"/>
      <w:r>
        <w:rPr>
          <w:color w:val="000000"/>
          <w:szCs w:val="32"/>
        </w:rPr>
        <w:t xml:space="preserve">4.1  </w:t>
      </w:r>
      <w:r>
        <w:t>一般规定</w:t>
      </w:r>
      <w:bookmarkEnd w:id="111"/>
      <w:bookmarkEnd w:id="112"/>
      <w:bookmarkEnd w:id="113"/>
      <w:bookmarkEnd w:id="114"/>
      <w:bookmarkEnd w:id="115"/>
      <w:bookmarkEnd w:id="116"/>
      <w:bookmarkEnd w:id="117"/>
      <w:bookmarkEnd w:id="118"/>
      <w:bookmarkEnd w:id="119"/>
    </w:p>
    <w:p w14:paraId="5BF2BF34">
      <w:pPr>
        <w:rPr>
          <w:rFonts w:ascii="Times New Roman" w:hAnsi="Times New Roman"/>
        </w:rPr>
      </w:pPr>
      <w:r>
        <w:rPr>
          <w:rFonts w:ascii="Times New Roman" w:hAnsi="Times New Roman"/>
          <w:b/>
        </w:rPr>
        <w:t>4.1.1</w:t>
      </w:r>
      <w:r>
        <w:rPr>
          <w:rFonts w:ascii="Times New Roman" w:hAnsi="Times New Roman"/>
        </w:rPr>
        <w:t xml:space="preserve">  合同订立与履约准备管理是履约管理的起始环节，其核心任务是将招标投标成果固化为合同约定，并将合同约定转化为可执行、可核查的履约基准，为全过程履约管理奠定基础。</w:t>
      </w:r>
    </w:p>
    <w:p w14:paraId="0A9E10A6">
      <w:pPr>
        <w:rPr>
          <w:rFonts w:ascii="Times New Roman" w:hAnsi="Times New Roman"/>
        </w:rPr>
      </w:pPr>
      <w:r>
        <w:rPr>
          <w:rFonts w:ascii="Times New Roman" w:hAnsi="Times New Roman"/>
          <w:b/>
        </w:rPr>
        <w:t>4.1.2</w:t>
      </w:r>
      <w:r>
        <w:rPr>
          <w:rFonts w:ascii="Times New Roman" w:hAnsi="Times New Roman"/>
        </w:rPr>
        <w:t xml:space="preserve">  合同订立与履约准备管理应确保合同文件完整合规、履约清单清晰可核、交底工作充分到位、担保保险有效落实、前期条件具备满足开工要求。</w:t>
      </w:r>
    </w:p>
    <w:p w14:paraId="6CF17337">
      <w:pPr>
        <w:pStyle w:val="3"/>
        <w:rPr>
          <w:color w:val="000000"/>
          <w:sz w:val="24"/>
        </w:rPr>
      </w:pPr>
      <w:bookmarkStart w:id="120" w:name="_Toc1566744196"/>
      <w:bookmarkStart w:id="121" w:name="_Toc1490767419"/>
      <w:bookmarkStart w:id="122" w:name="_Toc1088848536"/>
      <w:bookmarkStart w:id="123" w:name="_Toc231665511"/>
      <w:bookmarkStart w:id="124" w:name="_Toc595140767"/>
      <w:bookmarkStart w:id="125" w:name="_Toc957350212"/>
      <w:bookmarkStart w:id="126" w:name="_Toc538899670"/>
      <w:bookmarkStart w:id="127" w:name="_Toc895487636"/>
      <w:bookmarkStart w:id="128" w:name="_Toc2090088410"/>
      <w:r>
        <w:rPr>
          <w:color w:val="000000"/>
          <w:szCs w:val="32"/>
        </w:rPr>
        <w:t xml:space="preserve">4.2  </w:t>
      </w:r>
      <w:r>
        <w:t>合同订立</w:t>
      </w:r>
      <w:bookmarkEnd w:id="120"/>
      <w:bookmarkEnd w:id="121"/>
      <w:bookmarkEnd w:id="122"/>
      <w:bookmarkEnd w:id="123"/>
      <w:bookmarkEnd w:id="124"/>
      <w:bookmarkEnd w:id="125"/>
      <w:bookmarkEnd w:id="126"/>
      <w:bookmarkEnd w:id="127"/>
      <w:bookmarkEnd w:id="128"/>
    </w:p>
    <w:p w14:paraId="05DDE6B1">
      <w:pPr>
        <w:spacing w:line="312" w:lineRule="auto"/>
        <w:rPr>
          <w:rFonts w:ascii="Times New Roman" w:hAnsi="Times New Roman"/>
          <w:color w:val="000000"/>
        </w:rPr>
      </w:pPr>
      <w:r>
        <w:rPr>
          <w:rFonts w:ascii="Times New Roman" w:hAnsi="Times New Roman"/>
          <w:b/>
          <w:color w:val="000000"/>
        </w:rPr>
        <w:t>4.2.1</w:t>
      </w:r>
      <w:r>
        <w:rPr>
          <w:rFonts w:ascii="Times New Roman" w:hAnsi="Times New Roman"/>
          <w:color w:val="000000"/>
        </w:rPr>
        <w:t xml:space="preserve">  </w:t>
      </w:r>
      <w:r>
        <w:rPr>
          <w:rFonts w:hint="eastAsia" w:ascii="Times New Roman" w:hAnsi="Times New Roman"/>
          <w:color w:val="000000"/>
        </w:rPr>
        <w:t>发包人与承包人应当签订书面合同，合同的标的、价款、质量、履行期限等主要条款应当与招标文件和中标人的投标文件内容一致，不得订立背离合同实质性内容的其他协议</w:t>
      </w:r>
      <w:r>
        <w:rPr>
          <w:rFonts w:ascii="Times New Roman" w:hAnsi="Times New Roman"/>
          <w:color w:val="000000"/>
        </w:rPr>
        <w:t>。</w:t>
      </w:r>
    </w:p>
    <w:p w14:paraId="2CE7C262">
      <w:pPr>
        <w:spacing w:line="312" w:lineRule="auto"/>
        <w:rPr>
          <w:rFonts w:ascii="Times New Roman" w:hAnsi="Times New Roman"/>
          <w:color w:val="000000"/>
        </w:rPr>
      </w:pPr>
      <w:r>
        <w:rPr>
          <w:rFonts w:ascii="Times New Roman" w:hAnsi="Times New Roman"/>
          <w:b/>
        </w:rPr>
        <w:t>4.2.2</w:t>
      </w:r>
      <w:r>
        <w:rPr>
          <w:rFonts w:ascii="Times New Roman" w:hAnsi="Times New Roman"/>
          <w:color w:val="000000"/>
        </w:rPr>
        <w:t xml:space="preserve">  发包人应当建立合同审核机制，审核内容包括合同主体资格、与招标文件及中标人投标文件的符合性、条款合规性、权责划分合理性、风险防控措施等。发包人在编制招标文件时应重视合同内容的编制质量。</w:t>
      </w:r>
    </w:p>
    <w:p w14:paraId="5218F847">
      <w:pPr>
        <w:spacing w:line="312" w:lineRule="auto"/>
        <w:rPr>
          <w:rFonts w:ascii="Times New Roman" w:hAnsi="Times New Roman"/>
          <w:color w:val="000000"/>
        </w:rPr>
      </w:pPr>
      <w:r>
        <w:rPr>
          <w:rFonts w:ascii="Times New Roman" w:hAnsi="Times New Roman"/>
          <w:b/>
          <w:color w:val="000000"/>
        </w:rPr>
        <w:t>4.2.3</w:t>
      </w:r>
      <w:r>
        <w:rPr>
          <w:rFonts w:ascii="Times New Roman" w:hAnsi="Times New Roman"/>
          <w:color w:val="000000"/>
        </w:rPr>
        <w:t xml:space="preserve">  履约清单的编制</w:t>
      </w:r>
    </w:p>
    <w:p w14:paraId="22F98AFF">
      <w:pPr>
        <w:spacing w:line="312" w:lineRule="auto"/>
        <w:ind w:firstLine="480" w:firstLineChars="200"/>
        <w:rPr>
          <w:rFonts w:ascii="Times New Roman" w:hAnsi="Times New Roman"/>
          <w:color w:val="000000"/>
        </w:rPr>
      </w:pPr>
      <w:r>
        <w:rPr>
          <w:rFonts w:ascii="Times New Roman" w:hAnsi="Times New Roman"/>
          <w:color w:val="000000"/>
        </w:rPr>
        <w:t>1  发包人应在合同订立后，依据中标通知书、招标文件、投标文件及合同约定，组织编制履约清单。</w:t>
      </w:r>
    </w:p>
    <w:p w14:paraId="5A560BE3">
      <w:pPr>
        <w:spacing w:line="312" w:lineRule="auto"/>
        <w:ind w:firstLine="480" w:firstLineChars="200"/>
        <w:rPr>
          <w:rFonts w:ascii="Times New Roman" w:hAnsi="Times New Roman"/>
          <w:color w:val="000000"/>
        </w:rPr>
      </w:pPr>
      <w:r>
        <w:rPr>
          <w:rFonts w:ascii="Times New Roman" w:hAnsi="Times New Roman"/>
          <w:color w:val="000000"/>
        </w:rPr>
        <w:t>2  履约清单应将承包人的核心履约义务逐项分解为可核查的具体指标，宜包括：</w:t>
      </w:r>
    </w:p>
    <w:p w14:paraId="3212E699">
      <w:pPr>
        <w:spacing w:line="312" w:lineRule="auto"/>
        <w:ind w:firstLine="720" w:firstLineChars="300"/>
        <w:rPr>
          <w:rFonts w:ascii="Times New Roman" w:hAnsi="Times New Roman"/>
          <w:color w:val="000000"/>
        </w:rPr>
      </w:pPr>
      <w:r>
        <w:rPr>
          <w:rFonts w:ascii="Times New Roman" w:hAnsi="Times New Roman"/>
          <w:color w:val="000000"/>
        </w:rPr>
        <w:t>1）人员到岗清单（主要管理人员、技术人员的配备数量、资格、到岗时间）；</w:t>
      </w:r>
    </w:p>
    <w:p w14:paraId="1A253AF9">
      <w:pPr>
        <w:spacing w:line="312" w:lineRule="auto"/>
        <w:ind w:firstLine="720" w:firstLineChars="300"/>
        <w:rPr>
          <w:rFonts w:ascii="Times New Roman" w:hAnsi="Times New Roman"/>
          <w:color w:val="000000"/>
        </w:rPr>
      </w:pPr>
      <w:r>
        <w:rPr>
          <w:rFonts w:ascii="Times New Roman" w:hAnsi="Times New Roman"/>
          <w:color w:val="000000"/>
        </w:rPr>
        <w:t>2）技术资源清单（技术资源的配备数量、投入使用时间）；</w:t>
      </w:r>
    </w:p>
    <w:p w14:paraId="21542F8F">
      <w:pPr>
        <w:spacing w:line="312" w:lineRule="auto"/>
        <w:ind w:firstLine="720" w:firstLineChars="300"/>
        <w:rPr>
          <w:rFonts w:ascii="Times New Roman" w:hAnsi="Times New Roman"/>
          <w:color w:val="000000"/>
        </w:rPr>
      </w:pPr>
      <w:r>
        <w:rPr>
          <w:rFonts w:ascii="Times New Roman" w:hAnsi="Times New Roman"/>
          <w:color w:val="000000"/>
        </w:rPr>
        <w:t>3）物资投入清单（主要设备、材料的规格、数量、进场时间）；</w:t>
      </w:r>
    </w:p>
    <w:p w14:paraId="35B15744">
      <w:pPr>
        <w:spacing w:line="312" w:lineRule="auto"/>
        <w:ind w:firstLine="720" w:firstLineChars="300"/>
        <w:rPr>
          <w:rFonts w:ascii="Times New Roman" w:hAnsi="Times New Roman"/>
          <w:color w:val="000000"/>
        </w:rPr>
      </w:pPr>
      <w:r>
        <w:rPr>
          <w:rFonts w:ascii="Times New Roman" w:hAnsi="Times New Roman"/>
          <w:color w:val="000000"/>
        </w:rPr>
        <w:t>4）里程碑节点清单（关键进度节点及完成标准）；</w:t>
      </w:r>
    </w:p>
    <w:p w14:paraId="6F6DAF21">
      <w:pPr>
        <w:spacing w:line="312" w:lineRule="auto"/>
        <w:ind w:firstLine="720" w:firstLineChars="300"/>
        <w:rPr>
          <w:rFonts w:ascii="Times New Roman" w:hAnsi="Times New Roman"/>
          <w:color w:val="000000"/>
        </w:rPr>
      </w:pPr>
      <w:r>
        <w:rPr>
          <w:rFonts w:ascii="Times New Roman" w:hAnsi="Times New Roman"/>
          <w:color w:val="000000"/>
        </w:rPr>
        <w:t>5）成果交付清单（交付物的内容、质量标准、验收条件）；</w:t>
      </w:r>
    </w:p>
    <w:p w14:paraId="5DE4869D">
      <w:pPr>
        <w:spacing w:line="312" w:lineRule="auto"/>
        <w:ind w:firstLine="720" w:firstLineChars="300"/>
        <w:rPr>
          <w:rFonts w:ascii="Times New Roman" w:hAnsi="Times New Roman"/>
          <w:color w:val="000000"/>
        </w:rPr>
      </w:pPr>
      <w:r>
        <w:rPr>
          <w:rFonts w:ascii="Times New Roman" w:hAnsi="Times New Roman"/>
          <w:color w:val="000000"/>
        </w:rPr>
        <w:t>6）资料提交清单（需提交的各类报告、文件及提交时限）；</w:t>
      </w:r>
    </w:p>
    <w:p w14:paraId="230D182B">
      <w:pPr>
        <w:spacing w:line="312" w:lineRule="auto"/>
        <w:ind w:firstLine="720" w:firstLineChars="300"/>
        <w:rPr>
          <w:rFonts w:ascii="Times New Roman" w:hAnsi="Times New Roman"/>
        </w:rPr>
      </w:pPr>
      <w:r>
        <w:rPr>
          <w:rFonts w:ascii="Times New Roman" w:hAnsi="Times New Roman"/>
        </w:rPr>
        <w:t>7）分包管理履约清单（如有）；</w:t>
      </w:r>
    </w:p>
    <w:p w14:paraId="4864E903">
      <w:pPr>
        <w:spacing w:line="312" w:lineRule="auto"/>
        <w:ind w:firstLine="720" w:firstLineChars="300"/>
        <w:rPr>
          <w:rFonts w:ascii="Times New Roman" w:hAnsi="Times New Roman"/>
        </w:rPr>
      </w:pPr>
      <w:r>
        <w:rPr>
          <w:rFonts w:ascii="Times New Roman" w:hAnsi="Times New Roman"/>
        </w:rPr>
        <w:t>8）联合体各方责任分工清单（如有）；</w:t>
      </w:r>
    </w:p>
    <w:p w14:paraId="624BE530">
      <w:pPr>
        <w:spacing w:line="312" w:lineRule="auto"/>
        <w:ind w:firstLine="720" w:firstLineChars="300"/>
        <w:rPr>
          <w:rFonts w:ascii="Times New Roman" w:hAnsi="Times New Roman"/>
          <w:color w:val="000000"/>
        </w:rPr>
      </w:pPr>
      <w:r>
        <w:rPr>
          <w:rFonts w:ascii="Times New Roman" w:hAnsi="Times New Roman"/>
        </w:rPr>
        <w:t>9）暂估价项目实施计划清单（如有）</w:t>
      </w:r>
    </w:p>
    <w:p w14:paraId="14A45F1F">
      <w:pPr>
        <w:spacing w:line="312" w:lineRule="auto"/>
        <w:ind w:firstLine="720" w:firstLineChars="300"/>
        <w:rPr>
          <w:rFonts w:ascii="Times New Roman" w:hAnsi="Times New Roman"/>
          <w:color w:val="000000"/>
        </w:rPr>
      </w:pPr>
      <w:r>
        <w:rPr>
          <w:rFonts w:ascii="Times New Roman" w:hAnsi="Times New Roman"/>
          <w:color w:val="000000"/>
        </w:rPr>
        <w:t>10）其他合同约定的关键履约事项。</w:t>
      </w:r>
    </w:p>
    <w:p w14:paraId="00E1E555">
      <w:pPr>
        <w:spacing w:line="312" w:lineRule="auto"/>
        <w:ind w:firstLine="480" w:firstLineChars="200"/>
        <w:rPr>
          <w:rFonts w:ascii="Times New Roman" w:hAnsi="Times New Roman"/>
          <w:color w:val="000000"/>
        </w:rPr>
      </w:pPr>
      <w:r>
        <w:rPr>
          <w:rFonts w:ascii="Times New Roman" w:hAnsi="Times New Roman"/>
          <w:color w:val="000000"/>
        </w:rPr>
        <w:t>3  履约清单应经发包人与承包人共同确认，作为全过程履约检查、履约验收及结算的基准依据。</w:t>
      </w:r>
    </w:p>
    <w:p w14:paraId="7527A2C6">
      <w:pPr>
        <w:spacing w:line="312" w:lineRule="auto"/>
        <w:ind w:firstLine="480" w:firstLineChars="200"/>
        <w:rPr>
          <w:rFonts w:ascii="Times New Roman" w:hAnsi="Times New Roman"/>
          <w:color w:val="000000"/>
        </w:rPr>
      </w:pPr>
      <w:r>
        <w:rPr>
          <w:rFonts w:ascii="Times New Roman" w:hAnsi="Times New Roman"/>
          <w:color w:val="000000"/>
        </w:rPr>
        <w:t>4  合同履行过程中需调整履约清单的，应经双方协商一致，并形成书面变更记录。</w:t>
      </w:r>
    </w:p>
    <w:p w14:paraId="0C9C8F47">
      <w:pPr>
        <w:spacing w:line="560" w:lineRule="exact"/>
        <w:rPr>
          <w:rFonts w:ascii="Times New Roman" w:hAnsi="Times New Roman"/>
        </w:rPr>
      </w:pPr>
      <w:r>
        <w:rPr>
          <w:rFonts w:ascii="Times New Roman" w:hAnsi="Times New Roman" w:eastAsia="楷体_GB2312"/>
          <w:b/>
        </w:rPr>
        <w:t xml:space="preserve">4.2.4  </w:t>
      </w:r>
      <w:r>
        <w:rPr>
          <w:rFonts w:ascii="Times New Roman" w:hAnsi="Times New Roman"/>
        </w:rPr>
        <w:t>以联合体形式中标的，发包人应在合同中明确联合体各方的责任分工、履约义务、连带责任及内部协调机制。履约清单应分别列明联合体各方的具体履约要求。发包人有权对联合体任一成员的履约行为进行监督检查，联合体牵头人负责统一协调。</w:t>
      </w:r>
    </w:p>
    <w:p w14:paraId="6D3153DB">
      <w:pPr>
        <w:spacing w:line="560" w:lineRule="exact"/>
        <w:rPr>
          <w:rFonts w:ascii="Times New Roman" w:hAnsi="Times New Roman"/>
        </w:rPr>
      </w:pPr>
      <w:r>
        <w:rPr>
          <w:rFonts w:ascii="Times New Roman" w:hAnsi="Times New Roman" w:eastAsia="楷体_GB2312"/>
          <w:b/>
        </w:rPr>
        <w:t xml:space="preserve">4.2.5  </w:t>
      </w:r>
      <w:r>
        <w:rPr>
          <w:rFonts w:ascii="Times New Roman" w:hAnsi="Times New Roman"/>
        </w:rPr>
        <w:t>承包人拟进行分包的，应在投标文件中明确分包计划。发包人应在合同签订时审核分包方案，确认分包范围、分包单位资质及主要人员配置。履约清单应包含分包项目的履约要求。发包人有权对分包单位的履约行为实施监督。</w:t>
      </w:r>
    </w:p>
    <w:p w14:paraId="186AFA30">
      <w:pPr>
        <w:spacing w:line="560" w:lineRule="exact"/>
        <w:rPr>
          <w:rFonts w:ascii="Times New Roman" w:hAnsi="Times New Roman"/>
          <w:color w:val="000000"/>
        </w:rPr>
      </w:pPr>
      <w:r>
        <w:rPr>
          <w:rFonts w:ascii="Times New Roman" w:hAnsi="Times New Roman" w:eastAsia="楷体_GB2312"/>
          <w:b/>
        </w:rPr>
        <w:t xml:space="preserve">4.2.6  </w:t>
      </w:r>
      <w:r>
        <w:rPr>
          <w:rFonts w:ascii="Times New Roman" w:hAnsi="Times New Roman"/>
        </w:rPr>
        <w:t>依法必须招标的暂估价项目，发包人应监督承包人按规定程序组织招标；不属于依法必须招标的暂估价项目，发包人应按合同约定确认供应商或分包人。暂估价项目的实施应纳入履约清单统一管理。</w:t>
      </w:r>
    </w:p>
    <w:p w14:paraId="5B0CC034">
      <w:pPr>
        <w:pStyle w:val="3"/>
        <w:rPr>
          <w:color w:val="000000"/>
          <w:sz w:val="24"/>
        </w:rPr>
      </w:pPr>
      <w:bookmarkStart w:id="129" w:name="_Toc855141314"/>
      <w:bookmarkStart w:id="130" w:name="_Toc1600303695"/>
      <w:bookmarkStart w:id="131" w:name="_Toc634237874"/>
      <w:bookmarkStart w:id="132" w:name="_Toc1671692556"/>
      <w:bookmarkStart w:id="133" w:name="_Toc1034035834"/>
      <w:bookmarkStart w:id="134" w:name="_Toc312718926"/>
      <w:bookmarkStart w:id="135" w:name="_Toc1542147841"/>
      <w:bookmarkStart w:id="136" w:name="_Toc231665512"/>
      <w:bookmarkStart w:id="137" w:name="_Toc1737390085"/>
      <w:r>
        <w:rPr>
          <w:color w:val="000000"/>
          <w:szCs w:val="32"/>
        </w:rPr>
        <w:t xml:space="preserve">4.3  </w:t>
      </w:r>
      <w:r>
        <w:t>合同备案、公示与归档</w:t>
      </w:r>
      <w:bookmarkEnd w:id="129"/>
      <w:bookmarkEnd w:id="130"/>
      <w:bookmarkEnd w:id="131"/>
      <w:bookmarkEnd w:id="132"/>
      <w:bookmarkEnd w:id="133"/>
      <w:bookmarkEnd w:id="134"/>
      <w:bookmarkEnd w:id="135"/>
      <w:bookmarkEnd w:id="136"/>
      <w:bookmarkEnd w:id="137"/>
    </w:p>
    <w:p w14:paraId="133670A5">
      <w:pPr>
        <w:spacing w:line="560" w:lineRule="exact"/>
        <w:rPr>
          <w:rFonts w:ascii="Times New Roman" w:hAnsi="Times New Roman"/>
          <w:color w:val="000000"/>
        </w:rPr>
      </w:pPr>
      <w:r>
        <w:rPr>
          <w:rFonts w:ascii="Times New Roman" w:hAnsi="Times New Roman"/>
          <w:b/>
          <w:color w:val="000000"/>
        </w:rPr>
        <w:t>4.3.1</w:t>
      </w:r>
      <w:r>
        <w:rPr>
          <w:rFonts w:ascii="Times New Roman" w:hAnsi="Times New Roman"/>
          <w:color w:val="000000"/>
        </w:rPr>
        <w:t xml:space="preserve">  招标人应当按照国家或地方相关规定要求，在规定期限内，将合同及相关资料报送行业主管部门办理备案手续，备案信息发生变更的，应当及时办理变更备案。</w:t>
      </w:r>
    </w:p>
    <w:p w14:paraId="2A8C370B">
      <w:pPr>
        <w:spacing w:line="560" w:lineRule="exact"/>
        <w:rPr>
          <w:rFonts w:ascii="Times New Roman" w:hAnsi="Times New Roman"/>
          <w:color w:val="000000"/>
        </w:rPr>
      </w:pPr>
      <w:r>
        <w:rPr>
          <w:rFonts w:ascii="Times New Roman" w:hAnsi="Times New Roman"/>
          <w:b/>
          <w:color w:val="000000"/>
        </w:rPr>
        <w:t>4.3.2</w:t>
      </w:r>
      <w:r>
        <w:rPr>
          <w:rFonts w:ascii="Times New Roman" w:hAnsi="Times New Roman"/>
          <w:color w:val="000000"/>
        </w:rPr>
        <w:t xml:space="preserve">  对于依法需要公示的合同，招标人应当在指定的公共服务平台或行业信息平台进行公示，公示内容和期限应当符合相关规定，不得泄露商业秘密和国家秘密。</w:t>
      </w:r>
    </w:p>
    <w:p w14:paraId="60287750">
      <w:pPr>
        <w:spacing w:line="560" w:lineRule="exact"/>
        <w:rPr>
          <w:rFonts w:ascii="Times New Roman" w:hAnsi="Times New Roman"/>
          <w:color w:val="000000"/>
        </w:rPr>
      </w:pPr>
      <w:r>
        <w:rPr>
          <w:rFonts w:ascii="Times New Roman" w:hAnsi="Times New Roman"/>
          <w:b/>
          <w:color w:val="000000"/>
        </w:rPr>
        <w:t>4.3.3</w:t>
      </w:r>
      <w:r>
        <w:rPr>
          <w:rFonts w:ascii="Times New Roman" w:hAnsi="Times New Roman"/>
          <w:color w:val="000000"/>
        </w:rPr>
        <w:t xml:space="preserve">  合同备案、公示完成后，发包人应当将合同文本、招标文件、投标文件、中标通知书、审核记录、备案资料等整理归档，建立合同管理档案。发包人宜将合同文件形成电子档案。</w:t>
      </w:r>
    </w:p>
    <w:p w14:paraId="0B761B7F">
      <w:pPr>
        <w:pStyle w:val="3"/>
      </w:pPr>
      <w:bookmarkStart w:id="138" w:name="_Toc1075837904"/>
      <w:bookmarkStart w:id="139" w:name="_Toc231665513"/>
      <w:bookmarkStart w:id="140" w:name="_Toc695244945"/>
      <w:bookmarkStart w:id="141" w:name="_Toc1764750259"/>
      <w:bookmarkStart w:id="142" w:name="_Toc454071991"/>
      <w:bookmarkStart w:id="143" w:name="_Toc754222387"/>
      <w:bookmarkStart w:id="144" w:name="_Toc1221934220"/>
      <w:bookmarkStart w:id="145" w:name="_Toc1302248375"/>
      <w:bookmarkStart w:id="146" w:name="_Toc122908643"/>
      <w:r>
        <w:rPr>
          <w:color w:val="000000"/>
          <w:szCs w:val="32"/>
        </w:rPr>
        <w:t xml:space="preserve">4.4  </w:t>
      </w:r>
      <w:r>
        <w:t>合同交底</w:t>
      </w:r>
      <w:bookmarkEnd w:id="138"/>
      <w:bookmarkEnd w:id="139"/>
      <w:bookmarkEnd w:id="140"/>
      <w:bookmarkEnd w:id="141"/>
      <w:bookmarkEnd w:id="142"/>
      <w:bookmarkEnd w:id="143"/>
      <w:bookmarkEnd w:id="144"/>
      <w:bookmarkEnd w:id="145"/>
      <w:bookmarkEnd w:id="146"/>
    </w:p>
    <w:p w14:paraId="4D098C09">
      <w:pPr>
        <w:adjustRightInd w:val="0"/>
        <w:snapToGrid w:val="0"/>
        <w:rPr>
          <w:rFonts w:ascii="Times New Roman" w:hAnsi="Times New Roman"/>
        </w:rPr>
      </w:pPr>
      <w:r>
        <w:rPr>
          <w:rFonts w:ascii="Times New Roman" w:hAnsi="Times New Roman"/>
          <w:b/>
          <w:color w:val="000000"/>
        </w:rPr>
        <w:t>4.4.1</w:t>
      </w:r>
      <w:r>
        <w:rPr>
          <w:rFonts w:ascii="Times New Roman" w:hAnsi="Times New Roman"/>
        </w:rPr>
        <w:t xml:space="preserve">  合同签署后，发包人可组织内部合同交底，宜向承包人交底。</w:t>
      </w:r>
    </w:p>
    <w:p w14:paraId="024E1841">
      <w:pPr>
        <w:adjustRightInd w:val="0"/>
        <w:snapToGrid w:val="0"/>
        <w:rPr>
          <w:rFonts w:ascii="Times New Roman" w:hAnsi="Times New Roman"/>
        </w:rPr>
      </w:pPr>
      <w:r>
        <w:rPr>
          <w:rFonts w:ascii="Times New Roman" w:hAnsi="Times New Roman"/>
          <w:b/>
          <w:color w:val="000000"/>
        </w:rPr>
        <w:t>4.4.2</w:t>
      </w:r>
      <w:r>
        <w:rPr>
          <w:rFonts w:ascii="Times New Roman" w:hAnsi="Times New Roman"/>
        </w:rPr>
        <w:t xml:space="preserve">  合同交底应明确合同核心条款、权责划分、履约节点、质量要求、价款支付、变更索赔、违约责任、争议解决等内容，重点解读关键条款、风险点及防控措施。</w:t>
      </w:r>
    </w:p>
    <w:p w14:paraId="09052712">
      <w:pPr>
        <w:rPr>
          <w:rFonts w:ascii="Times New Roman" w:hAnsi="Times New Roman"/>
        </w:rPr>
      </w:pPr>
      <w:r>
        <w:rPr>
          <w:rFonts w:ascii="Times New Roman" w:hAnsi="Times New Roman"/>
          <w:b/>
          <w:color w:val="000000"/>
        </w:rPr>
        <w:t>4.4.3</w:t>
      </w:r>
      <w:r>
        <w:rPr>
          <w:rFonts w:ascii="Times New Roman" w:hAnsi="Times New Roman"/>
        </w:rPr>
        <w:t xml:space="preserve">  交底可采用书面与现场讲解相结合的方式进行，交底记录应由交底人与被交底人签字确认，并建立答疑机制，及时解答项目实施中的合同疑问。</w:t>
      </w:r>
    </w:p>
    <w:p w14:paraId="25B88C86">
      <w:pPr>
        <w:rPr>
          <w:rFonts w:ascii="Times New Roman" w:hAnsi="Times New Roman"/>
          <w:bCs/>
          <w:color w:val="000000"/>
        </w:rPr>
      </w:pPr>
      <w:r>
        <w:rPr>
          <w:rFonts w:ascii="Times New Roman" w:hAnsi="Times New Roman"/>
          <w:b/>
          <w:color w:val="000000"/>
        </w:rPr>
        <w:t>4.4.</w:t>
      </w:r>
      <w:r>
        <w:rPr>
          <w:rFonts w:hint="eastAsia" w:ascii="Times New Roman" w:hAnsi="Times New Roman"/>
          <w:b/>
          <w:color w:val="000000"/>
        </w:rPr>
        <w:t xml:space="preserve">4  </w:t>
      </w:r>
      <w:r>
        <w:rPr>
          <w:rFonts w:hint="eastAsia" w:ascii="Times New Roman" w:hAnsi="Times New Roman"/>
          <w:bCs/>
          <w:color w:val="000000"/>
        </w:rPr>
        <w:t>发包人组织合同内部交底，应包括以下内容：</w:t>
      </w:r>
    </w:p>
    <w:p w14:paraId="33F3B6E1">
      <w:pPr>
        <w:ind w:firstLine="480" w:firstLineChars="200"/>
        <w:rPr>
          <w:rFonts w:ascii="Times New Roman" w:hAnsi="Times New Roman"/>
          <w:bCs/>
          <w:color w:val="000000"/>
        </w:rPr>
      </w:pPr>
      <w:r>
        <w:rPr>
          <w:rFonts w:hint="eastAsia" w:ascii="Times New Roman" w:hAnsi="Times New Roman"/>
          <w:bCs/>
          <w:color w:val="000000"/>
        </w:rPr>
        <w:t>1  合同基本情况：合同工期（开工日期、竣工日期、里程碑节点）、质量标准（验收标准、创优目标）、签约合同价及价格形式等；</w:t>
      </w:r>
    </w:p>
    <w:p w14:paraId="27BBA7E6">
      <w:pPr>
        <w:ind w:firstLine="480" w:firstLineChars="200"/>
        <w:rPr>
          <w:rFonts w:ascii="Times New Roman" w:hAnsi="Times New Roman"/>
          <w:bCs/>
          <w:color w:val="000000"/>
        </w:rPr>
      </w:pPr>
      <w:r>
        <w:rPr>
          <w:rFonts w:hint="eastAsia" w:ascii="Times New Roman" w:hAnsi="Times New Roman"/>
          <w:bCs/>
          <w:color w:val="000000"/>
        </w:rPr>
        <w:t>2  合同范围与界面：施工范围、甲供材料设备范围、暂估价项目范围；</w:t>
      </w:r>
    </w:p>
    <w:p w14:paraId="6524EFB1">
      <w:pPr>
        <w:ind w:firstLine="480" w:firstLineChars="200"/>
        <w:rPr>
          <w:rFonts w:ascii="Times New Roman" w:hAnsi="Times New Roman"/>
          <w:bCs/>
          <w:color w:val="000000"/>
        </w:rPr>
      </w:pPr>
      <w:r>
        <w:rPr>
          <w:rFonts w:hint="eastAsia" w:ascii="Times New Roman" w:hAnsi="Times New Roman"/>
          <w:bCs/>
          <w:color w:val="000000"/>
        </w:rPr>
        <w:t>3  合同主要条款：双方权利义务和违约责任；变更、签证、索赔的程序和时限要求；价款支付条件、比例和时限；价格调整机制（市场价格波动、政策变化等风险的调整办法）；争议解决方式和程序；</w:t>
      </w:r>
    </w:p>
    <w:p w14:paraId="550C4648">
      <w:pPr>
        <w:ind w:firstLine="480" w:firstLineChars="200"/>
        <w:rPr>
          <w:rFonts w:ascii="Times New Roman" w:hAnsi="Times New Roman"/>
          <w:bCs/>
          <w:color w:val="000000"/>
        </w:rPr>
      </w:pPr>
      <w:r>
        <w:rPr>
          <w:rFonts w:hint="eastAsia" w:ascii="Times New Roman" w:hAnsi="Times New Roman"/>
          <w:bCs/>
          <w:color w:val="000000"/>
        </w:rPr>
        <w:t>4  发包人项目管理团队各岗位的授权范围、职责划分和审批权限；</w:t>
      </w:r>
    </w:p>
    <w:p w14:paraId="52F12CBE">
      <w:pPr>
        <w:ind w:firstLine="480" w:firstLineChars="200"/>
        <w:rPr>
          <w:rFonts w:ascii="Times New Roman" w:hAnsi="Times New Roman"/>
          <w:bCs/>
          <w:color w:val="000000"/>
        </w:rPr>
      </w:pPr>
      <w:r>
        <w:rPr>
          <w:rFonts w:hint="eastAsia" w:ascii="Times New Roman" w:hAnsi="Times New Roman"/>
          <w:bCs/>
          <w:color w:val="000000"/>
        </w:rPr>
        <w:t>5  关键里程碑节点和工期控制要求；</w:t>
      </w:r>
    </w:p>
    <w:p w14:paraId="094E6725">
      <w:pPr>
        <w:ind w:firstLine="480" w:firstLineChars="200"/>
        <w:rPr>
          <w:rFonts w:ascii="Times New Roman" w:hAnsi="Times New Roman"/>
          <w:bCs/>
          <w:color w:val="000000"/>
        </w:rPr>
      </w:pPr>
      <w:r>
        <w:rPr>
          <w:rFonts w:hint="eastAsia" w:ascii="Times New Roman" w:hAnsi="Times New Roman"/>
          <w:bCs/>
          <w:color w:val="000000"/>
        </w:rPr>
        <w:t>6  发包人提供资料清单（勘察成果、施工图纸、基准点、基准线、地下管线资料等）及准确性责任边界；</w:t>
      </w:r>
    </w:p>
    <w:p w14:paraId="1FD79C0F">
      <w:pPr>
        <w:ind w:firstLine="480" w:firstLineChars="200"/>
        <w:rPr>
          <w:rFonts w:ascii="Times New Roman" w:hAnsi="Times New Roman"/>
          <w:bCs/>
          <w:color w:val="000000"/>
        </w:rPr>
      </w:pPr>
      <w:r>
        <w:rPr>
          <w:rFonts w:hint="eastAsia" w:ascii="Times New Roman" w:hAnsi="Times New Roman"/>
          <w:bCs/>
          <w:color w:val="000000"/>
        </w:rPr>
        <w:t>7  履约评价的标准和要求；</w:t>
      </w:r>
    </w:p>
    <w:p w14:paraId="2D8AA5F8">
      <w:pPr>
        <w:ind w:firstLine="480" w:firstLineChars="200"/>
        <w:rPr>
          <w:rFonts w:ascii="Times New Roman" w:hAnsi="Times New Roman"/>
          <w:bCs/>
          <w:color w:val="000000"/>
        </w:rPr>
      </w:pPr>
      <w:r>
        <w:rPr>
          <w:rFonts w:hint="eastAsia" w:ascii="Times New Roman" w:hAnsi="Times New Roman"/>
          <w:bCs/>
          <w:color w:val="000000"/>
        </w:rPr>
        <w:t>8  其他需要交底的重要事项。</w:t>
      </w:r>
    </w:p>
    <w:p w14:paraId="3B0DEF9D">
      <w:pPr>
        <w:rPr>
          <w:rFonts w:ascii="Times New Roman" w:hAnsi="Times New Roman"/>
          <w:bCs/>
          <w:color w:val="000000"/>
        </w:rPr>
      </w:pPr>
      <w:r>
        <w:rPr>
          <w:rFonts w:ascii="Times New Roman" w:hAnsi="Times New Roman"/>
          <w:b/>
          <w:color w:val="000000"/>
        </w:rPr>
        <w:t>4.4.5</w:t>
      </w:r>
      <w:r>
        <w:rPr>
          <w:rFonts w:hint="eastAsia" w:ascii="Times New Roman" w:hAnsi="Times New Roman"/>
          <w:b/>
          <w:color w:val="000000"/>
        </w:rPr>
        <w:t xml:space="preserve">  </w:t>
      </w:r>
      <w:r>
        <w:rPr>
          <w:rFonts w:ascii="Times New Roman" w:hAnsi="Times New Roman"/>
          <w:bCs/>
          <w:color w:val="000000"/>
        </w:rPr>
        <w:t>发包人组织承包人进行合同交底，应包括以下内容：</w:t>
      </w:r>
    </w:p>
    <w:p w14:paraId="20AE2FAE">
      <w:pPr>
        <w:ind w:firstLine="480" w:firstLineChars="200"/>
        <w:rPr>
          <w:rFonts w:ascii="Times New Roman" w:hAnsi="Times New Roman"/>
          <w:bCs/>
          <w:strike/>
          <w:color w:val="0000FF"/>
        </w:rPr>
      </w:pPr>
      <w:r>
        <w:rPr>
          <w:rFonts w:ascii="Times New Roman" w:hAnsi="Times New Roman"/>
          <w:bCs/>
          <w:color w:val="000000"/>
        </w:rPr>
        <w:t>1</w:t>
      </w:r>
      <w:r>
        <w:rPr>
          <w:rFonts w:hint="eastAsia" w:ascii="Times New Roman" w:hAnsi="Times New Roman"/>
          <w:bCs/>
          <w:color w:val="000000"/>
        </w:rPr>
        <w:t xml:space="preserve">  </w:t>
      </w:r>
      <w:r>
        <w:rPr>
          <w:rFonts w:ascii="Times New Roman" w:hAnsi="Times New Roman"/>
          <w:bCs/>
          <w:color w:val="000000"/>
        </w:rPr>
        <w:t>施工图纸与技术标准专项交底</w:t>
      </w:r>
    </w:p>
    <w:p w14:paraId="5567F14A">
      <w:pPr>
        <w:ind w:firstLine="720" w:firstLineChars="300"/>
        <w:rPr>
          <w:rFonts w:ascii="Times New Roman" w:hAnsi="Times New Roman"/>
          <w:bCs/>
          <w:color w:val="000000"/>
        </w:rPr>
      </w:pPr>
      <w:r>
        <w:rPr>
          <w:rFonts w:ascii="Times New Roman" w:hAnsi="Times New Roman"/>
          <w:bCs/>
          <w:color w:val="000000"/>
        </w:rPr>
        <w:t>1）设计意图、关键节点构造和技术难点；</w:t>
      </w:r>
    </w:p>
    <w:p w14:paraId="0FA07DE0">
      <w:pPr>
        <w:ind w:firstLine="720" w:firstLineChars="300"/>
        <w:rPr>
          <w:rFonts w:ascii="Times New Roman" w:hAnsi="Times New Roman"/>
          <w:bCs/>
          <w:color w:val="000000"/>
        </w:rPr>
      </w:pPr>
      <w:r>
        <w:rPr>
          <w:rFonts w:ascii="Times New Roman" w:hAnsi="Times New Roman"/>
          <w:bCs/>
          <w:color w:val="000000"/>
        </w:rPr>
        <w:t>2）技术标准和强制性规范要求，包括地方性验收标准和要求；</w:t>
      </w:r>
    </w:p>
    <w:p w14:paraId="1B09B39F">
      <w:pPr>
        <w:ind w:firstLine="720" w:firstLineChars="300"/>
        <w:rPr>
          <w:rFonts w:ascii="Times New Roman" w:hAnsi="Times New Roman"/>
          <w:bCs/>
          <w:color w:val="000000"/>
        </w:rPr>
      </w:pPr>
      <w:r>
        <w:rPr>
          <w:rFonts w:ascii="Times New Roman" w:hAnsi="Times New Roman"/>
          <w:bCs/>
          <w:color w:val="000000"/>
        </w:rPr>
        <w:t>3）施工图纸深度和图纸会审发现的问题；</w:t>
      </w:r>
    </w:p>
    <w:p w14:paraId="5E3CABE8">
      <w:pPr>
        <w:ind w:firstLine="720" w:firstLineChars="300"/>
        <w:rPr>
          <w:rFonts w:ascii="Times New Roman" w:hAnsi="Times New Roman"/>
          <w:bCs/>
          <w:color w:val="000000"/>
        </w:rPr>
      </w:pPr>
      <w:r>
        <w:rPr>
          <w:rFonts w:ascii="Times New Roman" w:hAnsi="Times New Roman"/>
          <w:bCs/>
          <w:color w:val="000000"/>
        </w:rPr>
        <w:t>4）主要材料设备的品牌、规格、技术参数要求；</w:t>
      </w:r>
    </w:p>
    <w:p w14:paraId="589BD89E">
      <w:pPr>
        <w:ind w:firstLine="720" w:firstLineChars="300"/>
        <w:rPr>
          <w:rFonts w:ascii="Times New Roman" w:hAnsi="Times New Roman"/>
          <w:bCs/>
          <w:color w:val="000000"/>
        </w:rPr>
      </w:pPr>
      <w:r>
        <w:rPr>
          <w:rFonts w:ascii="Times New Roman" w:hAnsi="Times New Roman"/>
          <w:bCs/>
          <w:color w:val="000000"/>
        </w:rPr>
        <w:t>5）工程质量创优目标和专项要求；</w:t>
      </w:r>
    </w:p>
    <w:p w14:paraId="6DD21078">
      <w:pPr>
        <w:ind w:firstLine="720" w:firstLineChars="300"/>
        <w:rPr>
          <w:rFonts w:ascii="Times New Roman" w:hAnsi="Times New Roman"/>
          <w:bCs/>
          <w:color w:val="000000"/>
        </w:rPr>
      </w:pPr>
      <w:r>
        <w:rPr>
          <w:rFonts w:ascii="Times New Roman" w:hAnsi="Times New Roman"/>
          <w:bCs/>
          <w:color w:val="000000"/>
        </w:rPr>
        <w:t>6）绿色施工、智慧工地等专项要求。</w:t>
      </w:r>
    </w:p>
    <w:p w14:paraId="2ECEBB17">
      <w:pPr>
        <w:ind w:firstLine="480" w:firstLineChars="200"/>
        <w:rPr>
          <w:rFonts w:ascii="Times New Roman" w:hAnsi="Times New Roman"/>
          <w:bCs/>
          <w:color w:val="0000FF"/>
        </w:rPr>
      </w:pPr>
      <w:r>
        <w:rPr>
          <w:rFonts w:ascii="Times New Roman" w:hAnsi="Times New Roman"/>
          <w:bCs/>
          <w:color w:val="000000"/>
        </w:rPr>
        <w:t>2</w:t>
      </w:r>
      <w:r>
        <w:rPr>
          <w:rFonts w:hint="eastAsia" w:ascii="Times New Roman" w:hAnsi="Times New Roman"/>
          <w:bCs/>
          <w:color w:val="000000"/>
        </w:rPr>
        <w:t xml:space="preserve">  </w:t>
      </w:r>
      <w:r>
        <w:rPr>
          <w:rFonts w:ascii="Times New Roman" w:hAnsi="Times New Roman"/>
          <w:bCs/>
          <w:color w:val="000000" w:themeColor="text1"/>
          <w14:textFill>
            <w14:solidFill>
              <w14:schemeClr w14:val="tx1"/>
            </w14:solidFill>
          </w14:textFill>
        </w:rPr>
        <w:t>工程总承包项目</w:t>
      </w:r>
      <w:r>
        <w:rPr>
          <w:rFonts w:hint="eastAsia" w:ascii="Times New Roman" w:hAnsi="Times New Roman"/>
          <w:bCs/>
          <w:color w:val="000000" w:themeColor="text1"/>
          <w14:textFill>
            <w14:solidFill>
              <w14:schemeClr w14:val="tx1"/>
            </w14:solidFill>
          </w14:textFill>
        </w:rPr>
        <w:t>的</w:t>
      </w:r>
      <w:r>
        <w:rPr>
          <w:rFonts w:ascii="Times New Roman" w:hAnsi="Times New Roman"/>
          <w:bCs/>
          <w:color w:val="000000"/>
        </w:rPr>
        <w:t>《发包人要求》专项交底</w:t>
      </w:r>
    </w:p>
    <w:p w14:paraId="4BEC1F9F">
      <w:pPr>
        <w:ind w:firstLine="720" w:firstLineChars="300"/>
        <w:rPr>
          <w:rFonts w:ascii="Times New Roman" w:hAnsi="Times New Roman"/>
          <w:bCs/>
          <w:color w:val="000000"/>
        </w:rPr>
      </w:pPr>
      <w:r>
        <w:rPr>
          <w:rFonts w:ascii="Times New Roman" w:hAnsi="Times New Roman"/>
          <w:bCs/>
          <w:color w:val="000000"/>
        </w:rPr>
        <w:t>1）项目功能要求（目的、规模、性能保证指标、产能保证指标等）；</w:t>
      </w:r>
    </w:p>
    <w:p w14:paraId="3C85EE6E">
      <w:pPr>
        <w:ind w:left="1080" w:leftChars="300" w:hanging="360" w:hangingChars="150"/>
        <w:rPr>
          <w:rFonts w:ascii="Times New Roman" w:hAnsi="Times New Roman"/>
          <w:bCs/>
          <w:color w:val="000000"/>
        </w:rPr>
      </w:pPr>
      <w:r>
        <w:rPr>
          <w:rFonts w:ascii="Times New Roman" w:hAnsi="Times New Roman"/>
          <w:bCs/>
          <w:color w:val="000000"/>
        </w:rPr>
        <w:t>2）工程范围（设计采购施工范围、工作界区、发包人提供的现场条件、发包人提供的技术文件等）；</w:t>
      </w:r>
    </w:p>
    <w:p w14:paraId="7918B95D">
      <w:pPr>
        <w:ind w:firstLine="720" w:firstLineChars="300"/>
        <w:rPr>
          <w:rFonts w:ascii="Times New Roman" w:hAnsi="Times New Roman"/>
          <w:bCs/>
          <w:color w:val="000000"/>
        </w:rPr>
      </w:pPr>
      <w:r>
        <w:rPr>
          <w:rFonts w:hint="eastAsia" w:ascii="Times New Roman" w:hAnsi="Times New Roman"/>
          <w:bCs/>
          <w:color w:val="000000"/>
        </w:rPr>
        <w:t>3</w:t>
      </w:r>
      <w:r>
        <w:rPr>
          <w:rFonts w:ascii="Times New Roman" w:hAnsi="Times New Roman"/>
          <w:bCs/>
          <w:color w:val="000000"/>
        </w:rPr>
        <w:t>）时间要求（开始工作时间、竣工时间、缺陷责任期等）；</w:t>
      </w:r>
    </w:p>
    <w:p w14:paraId="448C28F5">
      <w:pPr>
        <w:ind w:firstLine="720" w:firstLineChars="300"/>
        <w:rPr>
          <w:rFonts w:ascii="Times New Roman" w:hAnsi="Times New Roman"/>
          <w:bCs/>
          <w:color w:val="000000"/>
        </w:rPr>
      </w:pPr>
      <w:r>
        <w:rPr>
          <w:rFonts w:hint="eastAsia" w:ascii="Times New Roman" w:hAnsi="Times New Roman"/>
          <w:bCs/>
          <w:color w:val="000000"/>
        </w:rPr>
        <w:t>4</w:t>
      </w:r>
      <w:r>
        <w:rPr>
          <w:rFonts w:ascii="Times New Roman" w:hAnsi="Times New Roman"/>
          <w:bCs/>
          <w:color w:val="000000"/>
        </w:rPr>
        <w:t>）设计深度和交付成果要求；</w:t>
      </w:r>
    </w:p>
    <w:p w14:paraId="500C28BA">
      <w:pPr>
        <w:ind w:firstLine="720" w:firstLineChars="300"/>
        <w:rPr>
          <w:rFonts w:ascii="Times New Roman" w:hAnsi="Times New Roman"/>
          <w:bCs/>
          <w:color w:val="000000"/>
        </w:rPr>
      </w:pPr>
      <w:r>
        <w:rPr>
          <w:rFonts w:hint="eastAsia" w:ascii="Times New Roman" w:hAnsi="Times New Roman"/>
          <w:bCs/>
          <w:color w:val="000000"/>
        </w:rPr>
        <w:t>5</w:t>
      </w:r>
      <w:r>
        <w:rPr>
          <w:rFonts w:ascii="Times New Roman" w:hAnsi="Times New Roman"/>
          <w:bCs/>
          <w:color w:val="000000"/>
        </w:rPr>
        <w:t>）关键设备材料的品牌、规格、技术参数要求；</w:t>
      </w:r>
    </w:p>
    <w:p w14:paraId="7D834CB8">
      <w:pPr>
        <w:ind w:firstLine="720" w:firstLineChars="300"/>
        <w:rPr>
          <w:rFonts w:ascii="Times New Roman" w:hAnsi="Times New Roman"/>
          <w:bCs/>
          <w:color w:val="000000"/>
        </w:rPr>
      </w:pPr>
      <w:r>
        <w:rPr>
          <w:rFonts w:hint="eastAsia" w:ascii="Times New Roman" w:hAnsi="Times New Roman"/>
          <w:bCs/>
          <w:color w:val="000000"/>
        </w:rPr>
        <w:t>6</w:t>
      </w:r>
      <w:r>
        <w:rPr>
          <w:rFonts w:ascii="Times New Roman" w:hAnsi="Times New Roman"/>
          <w:bCs/>
          <w:color w:val="000000"/>
        </w:rPr>
        <w:t>）环保、绿色建造、数智化应用等专项要求；</w:t>
      </w:r>
    </w:p>
    <w:p w14:paraId="3123374A">
      <w:pPr>
        <w:ind w:firstLine="720" w:firstLineChars="300"/>
        <w:rPr>
          <w:rFonts w:ascii="Times New Roman" w:hAnsi="Times New Roman"/>
          <w:bCs/>
          <w:color w:val="000000"/>
        </w:rPr>
      </w:pPr>
      <w:r>
        <w:rPr>
          <w:rFonts w:hint="eastAsia" w:ascii="Times New Roman" w:hAnsi="Times New Roman"/>
          <w:bCs/>
          <w:color w:val="000000"/>
        </w:rPr>
        <w:t>7</w:t>
      </w:r>
      <w:r>
        <w:rPr>
          <w:rFonts w:ascii="Times New Roman" w:hAnsi="Times New Roman"/>
          <w:bCs/>
          <w:color w:val="000000"/>
        </w:rPr>
        <w:t>）工程项目管理规定；</w:t>
      </w:r>
    </w:p>
    <w:p w14:paraId="2F0CE2E2">
      <w:pPr>
        <w:ind w:firstLine="720" w:firstLineChars="300"/>
        <w:rPr>
          <w:rFonts w:ascii="Times New Roman" w:hAnsi="Times New Roman"/>
          <w:bCs/>
          <w:color w:val="000000"/>
        </w:rPr>
      </w:pPr>
      <w:r>
        <w:rPr>
          <w:rFonts w:hint="eastAsia" w:ascii="Times New Roman" w:hAnsi="Times New Roman"/>
          <w:bCs/>
          <w:color w:val="000000"/>
        </w:rPr>
        <w:t>8</w:t>
      </w:r>
      <w:r>
        <w:rPr>
          <w:rFonts w:ascii="Times New Roman" w:hAnsi="Times New Roman"/>
          <w:bCs/>
          <w:color w:val="000000"/>
        </w:rPr>
        <w:t>）其他需要交底的要求。</w:t>
      </w:r>
    </w:p>
    <w:p w14:paraId="1C68B924">
      <w:pPr>
        <w:ind w:firstLine="480" w:firstLineChars="200"/>
        <w:rPr>
          <w:rFonts w:ascii="Times New Roman" w:hAnsi="Times New Roman"/>
          <w:bCs/>
          <w:color w:val="0000FF"/>
        </w:rPr>
      </w:pPr>
      <w:r>
        <w:rPr>
          <w:rFonts w:ascii="Times New Roman" w:hAnsi="Times New Roman"/>
          <w:bCs/>
          <w:color w:val="000000"/>
        </w:rPr>
        <w:t>3</w:t>
      </w:r>
      <w:r>
        <w:rPr>
          <w:rFonts w:hint="eastAsia" w:ascii="Times New Roman" w:hAnsi="Times New Roman"/>
          <w:bCs/>
          <w:color w:val="000000"/>
        </w:rPr>
        <w:t xml:space="preserve">  </w:t>
      </w:r>
      <w:r>
        <w:rPr>
          <w:rFonts w:ascii="Times New Roman" w:hAnsi="Times New Roman"/>
          <w:bCs/>
          <w:color w:val="000000" w:themeColor="text1"/>
          <w14:textFill>
            <w14:solidFill>
              <w14:schemeClr w14:val="tx1"/>
            </w14:solidFill>
          </w14:textFill>
        </w:rPr>
        <w:t>工程总承包项目</w:t>
      </w:r>
      <w:r>
        <w:rPr>
          <w:rFonts w:hint="eastAsia" w:ascii="Times New Roman" w:hAnsi="Times New Roman"/>
          <w:bCs/>
          <w:color w:val="000000" w:themeColor="text1"/>
          <w14:textFill>
            <w14:solidFill>
              <w14:schemeClr w14:val="tx1"/>
            </w14:solidFill>
          </w14:textFill>
        </w:rPr>
        <w:t>的</w:t>
      </w:r>
      <w:r>
        <w:rPr>
          <w:rFonts w:ascii="Times New Roman" w:hAnsi="Times New Roman"/>
          <w:bCs/>
          <w:color w:val="000000"/>
        </w:rPr>
        <w:t>《承包人建议书》专项交底</w:t>
      </w:r>
    </w:p>
    <w:p w14:paraId="78936707">
      <w:pPr>
        <w:ind w:left="1080" w:leftChars="300" w:hanging="360" w:hangingChars="150"/>
        <w:rPr>
          <w:rFonts w:ascii="Times New Roman" w:hAnsi="Times New Roman"/>
          <w:bCs/>
          <w:color w:val="000000"/>
        </w:rPr>
      </w:pPr>
      <w:r>
        <w:rPr>
          <w:rFonts w:ascii="Times New Roman" w:hAnsi="Times New Roman"/>
          <w:bCs/>
          <w:color w:val="000000"/>
        </w:rPr>
        <w:t>1）对《发包人要求》以及基础资料的理解；查勘现场所了解的工程实施条件、资料及地方惯例等；</w:t>
      </w:r>
    </w:p>
    <w:p w14:paraId="49E46649">
      <w:pPr>
        <w:ind w:left="1080" w:leftChars="300" w:hanging="360" w:hangingChars="150"/>
        <w:rPr>
          <w:rFonts w:ascii="Times New Roman" w:hAnsi="Times New Roman"/>
          <w:bCs/>
          <w:color w:val="000000"/>
        </w:rPr>
      </w:pPr>
      <w:r>
        <w:rPr>
          <w:rFonts w:ascii="Times New Roman" w:hAnsi="Times New Roman"/>
          <w:bCs/>
          <w:color w:val="000000"/>
        </w:rPr>
        <w:t>2）设计方案的专项交底（《发包人要求》的响应性、设计理念与思路、设计标准与规范、优化设计和合理化建议说明、设计深度与阶段划分、技术方案比选、设计进度计划等）；</w:t>
      </w:r>
    </w:p>
    <w:p w14:paraId="5A34EA57">
      <w:pPr>
        <w:ind w:left="1080" w:leftChars="300" w:hanging="360" w:hangingChars="150"/>
        <w:rPr>
          <w:rFonts w:ascii="Times New Roman" w:hAnsi="Times New Roman"/>
          <w:bCs/>
          <w:color w:val="000000"/>
        </w:rPr>
      </w:pPr>
      <w:r>
        <w:rPr>
          <w:rFonts w:ascii="Times New Roman" w:hAnsi="Times New Roman"/>
          <w:bCs/>
          <w:color w:val="000000"/>
        </w:rPr>
        <w:t>3）采购方案的专项交底（采购范围、关键设备材料清单、供应商选择方案、采购进度计划、质量检验方案等）；</w:t>
      </w:r>
    </w:p>
    <w:p w14:paraId="3B0EF40E">
      <w:pPr>
        <w:ind w:left="1080" w:leftChars="300" w:hanging="360" w:hangingChars="150"/>
        <w:rPr>
          <w:rFonts w:ascii="Times New Roman" w:hAnsi="Times New Roman"/>
          <w:bCs/>
          <w:color w:val="000000"/>
        </w:rPr>
      </w:pPr>
      <w:r>
        <w:rPr>
          <w:rFonts w:ascii="Times New Roman" w:hAnsi="Times New Roman"/>
          <w:bCs/>
          <w:color w:val="000000"/>
        </w:rPr>
        <w:t>4）施工方案的专项交底（施工部署与总体安排、施工总进度计划、施工总平面布置、主要施工方法、质量与安全保证措施、绿色施工措施等）；</w:t>
      </w:r>
    </w:p>
    <w:p w14:paraId="47B59EDE">
      <w:pPr>
        <w:ind w:left="1080" w:leftChars="300" w:hanging="360" w:hangingChars="150"/>
        <w:rPr>
          <w:rFonts w:ascii="Times New Roman" w:hAnsi="Times New Roman"/>
          <w:bCs/>
          <w:color w:val="000000"/>
        </w:rPr>
      </w:pPr>
      <w:r>
        <w:rPr>
          <w:rFonts w:ascii="Times New Roman" w:hAnsi="Times New Roman"/>
          <w:bCs/>
          <w:color w:val="000000"/>
        </w:rPr>
        <w:t>5）试运行与性能考核方案的专项交底（试运行总体安排、 试运行方案、性能考核方案、人员培训方案、应急预案等）；</w:t>
      </w:r>
    </w:p>
    <w:p w14:paraId="1D9C8610">
      <w:pPr>
        <w:ind w:left="1080" w:leftChars="300" w:hanging="360" w:hangingChars="150"/>
        <w:rPr>
          <w:rFonts w:ascii="Times New Roman" w:hAnsi="Times New Roman"/>
          <w:bCs/>
          <w:color w:val="000000"/>
        </w:rPr>
      </w:pPr>
      <w:r>
        <w:rPr>
          <w:rFonts w:ascii="Times New Roman" w:hAnsi="Times New Roman"/>
          <w:bCs/>
          <w:color w:val="000000"/>
        </w:rPr>
        <w:t>6）项目管理组织与资源配置的专项交底（项目管理组织机构、项目管理人员配置、劳动力配置计划、机械设备配置计划、试验检测设备配置、临时设施配置计划等）；</w:t>
      </w:r>
    </w:p>
    <w:p w14:paraId="18CFDE5E">
      <w:pPr>
        <w:ind w:left="1080" w:leftChars="300" w:hanging="360" w:hangingChars="150"/>
        <w:rPr>
          <w:rFonts w:ascii="Times New Roman" w:hAnsi="Times New Roman"/>
          <w:bCs/>
          <w:color w:val="000000"/>
        </w:rPr>
      </w:pPr>
      <w:r>
        <w:rPr>
          <w:rFonts w:ascii="Times New Roman" w:hAnsi="Times New Roman"/>
          <w:bCs/>
          <w:color w:val="000000"/>
        </w:rPr>
        <w:t>7）合理化建议的专项交底（设计优化建议、施工工艺优化建议、材料设备替代建议、工期优化建议、成本优化建议等）；</w:t>
      </w:r>
    </w:p>
    <w:p w14:paraId="79928BB8">
      <w:pPr>
        <w:ind w:left="720" w:leftChars="300"/>
        <w:rPr>
          <w:rFonts w:ascii="Times New Roman" w:hAnsi="Times New Roman"/>
          <w:bCs/>
          <w:color w:val="000000"/>
        </w:rPr>
      </w:pPr>
      <w:r>
        <w:rPr>
          <w:rFonts w:ascii="Times New Roman" w:hAnsi="Times New Roman"/>
          <w:bCs/>
          <w:color w:val="000000"/>
        </w:rPr>
        <w:t>8）其他需要交底的内容。</w:t>
      </w:r>
    </w:p>
    <w:p w14:paraId="06070E4E">
      <w:pPr>
        <w:ind w:firstLine="480" w:firstLineChars="200"/>
        <w:rPr>
          <w:rFonts w:ascii="Times New Roman" w:hAnsi="Times New Roman"/>
          <w:bCs/>
          <w:color w:val="000000"/>
        </w:rPr>
      </w:pPr>
      <w:r>
        <w:rPr>
          <w:rFonts w:ascii="Times New Roman" w:hAnsi="Times New Roman"/>
          <w:bCs/>
          <w:color w:val="000000"/>
        </w:rPr>
        <w:t>4</w:t>
      </w:r>
      <w:r>
        <w:rPr>
          <w:rFonts w:hint="eastAsia" w:ascii="Times New Roman" w:hAnsi="Times New Roman"/>
          <w:bCs/>
          <w:color w:val="000000"/>
        </w:rPr>
        <w:t xml:space="preserve">  </w:t>
      </w:r>
      <w:r>
        <w:rPr>
          <w:rFonts w:ascii="Times New Roman" w:hAnsi="Times New Roman"/>
          <w:bCs/>
          <w:color w:val="000000"/>
        </w:rPr>
        <w:t>勘察项目交底应明确勘察范围、勘察大纲要求、现场作业条件及勘察报告审查程序。</w:t>
      </w:r>
    </w:p>
    <w:p w14:paraId="57BC6E92">
      <w:pPr>
        <w:ind w:firstLine="480" w:firstLineChars="200"/>
        <w:rPr>
          <w:rFonts w:ascii="Times New Roman" w:hAnsi="Times New Roman"/>
          <w:bCs/>
          <w:color w:val="000000"/>
        </w:rPr>
      </w:pPr>
      <w:r>
        <w:rPr>
          <w:rFonts w:ascii="Times New Roman" w:hAnsi="Times New Roman"/>
          <w:bCs/>
          <w:color w:val="000000"/>
        </w:rPr>
        <w:t>5</w:t>
      </w:r>
      <w:r>
        <w:rPr>
          <w:rFonts w:hint="eastAsia" w:ascii="Times New Roman" w:hAnsi="Times New Roman"/>
          <w:bCs/>
          <w:color w:val="000000"/>
        </w:rPr>
        <w:t xml:space="preserve">  </w:t>
      </w:r>
      <w:r>
        <w:rPr>
          <w:rFonts w:ascii="Times New Roman" w:hAnsi="Times New Roman"/>
          <w:bCs/>
          <w:color w:val="000000"/>
        </w:rPr>
        <w:t>设计项目交底应明确设计范围、设计任务书、设计阶段划分、设计成果交付标准、设计变更程序及设计接口协调要求。</w:t>
      </w:r>
    </w:p>
    <w:p w14:paraId="72EAC5A1">
      <w:pPr>
        <w:ind w:firstLine="480" w:firstLineChars="200"/>
        <w:rPr>
          <w:rFonts w:ascii="Times New Roman" w:hAnsi="Times New Roman"/>
          <w:bCs/>
          <w:color w:val="000000"/>
        </w:rPr>
      </w:pPr>
      <w:r>
        <w:rPr>
          <w:rFonts w:ascii="Times New Roman" w:hAnsi="Times New Roman"/>
          <w:bCs/>
          <w:color w:val="000000"/>
        </w:rPr>
        <w:t>6</w:t>
      </w:r>
      <w:r>
        <w:rPr>
          <w:rFonts w:hint="eastAsia" w:ascii="Times New Roman" w:hAnsi="Times New Roman"/>
          <w:bCs/>
          <w:color w:val="000000"/>
        </w:rPr>
        <w:t xml:space="preserve">  </w:t>
      </w:r>
      <w:r>
        <w:rPr>
          <w:rFonts w:ascii="Times New Roman" w:hAnsi="Times New Roman"/>
          <w:bCs/>
          <w:color w:val="000000"/>
        </w:rPr>
        <w:t>监理项目交底应明确监理范围、监理职责权限、监理大纲要求，以及监理与发包人之间的职责界面。</w:t>
      </w:r>
    </w:p>
    <w:p w14:paraId="33ACB597">
      <w:pPr>
        <w:rPr>
          <w:rFonts w:ascii="Times New Roman" w:hAnsi="Times New Roman"/>
          <w:bCs/>
          <w:color w:val="000000"/>
        </w:rPr>
      </w:pPr>
      <w:r>
        <w:rPr>
          <w:rFonts w:ascii="Times New Roman" w:hAnsi="Times New Roman"/>
          <w:b/>
          <w:color w:val="000000"/>
        </w:rPr>
        <w:t>4.4.</w:t>
      </w:r>
      <w:r>
        <w:rPr>
          <w:rFonts w:hint="eastAsia" w:ascii="Times New Roman" w:hAnsi="Times New Roman"/>
          <w:b/>
          <w:color w:val="000000"/>
        </w:rPr>
        <w:t xml:space="preserve">6  </w:t>
      </w:r>
      <w:r>
        <w:rPr>
          <w:rFonts w:hint="eastAsia" w:ascii="Times New Roman" w:hAnsi="Times New Roman"/>
          <w:bCs/>
          <w:color w:val="000000"/>
        </w:rPr>
        <w:t>发包人应督促承包人组织合同内部交底，内容应包括合同条款、发包人要求、项目目标、风险提示等内容，并形成书面记录。承包人内部交底记录作为履约评价的资料依据。</w:t>
      </w:r>
    </w:p>
    <w:p w14:paraId="03BF1E54">
      <w:pPr>
        <w:ind w:firstLine="480" w:firstLineChars="200"/>
        <w:rPr>
          <w:rFonts w:ascii="Times New Roman" w:hAnsi="Times New Roman"/>
          <w:bCs/>
          <w:color w:val="000000"/>
        </w:rPr>
      </w:pPr>
      <w:r>
        <w:rPr>
          <w:rFonts w:ascii="Times New Roman" w:hAnsi="Times New Roman"/>
          <w:bCs/>
          <w:color w:val="000000"/>
        </w:rPr>
        <w:t>投标阶段经评标委员会审查的《承包人建议书》不直接理解为发包人的审查和同意；发包人可指出该阶段《承包人建议书》存在的错误、遗漏、含混、矛盾、不充分之处</w:t>
      </w:r>
      <w:r>
        <w:rPr>
          <w:rFonts w:hint="eastAsia" w:ascii="Times New Roman" w:hAnsi="Times New Roman"/>
          <w:bCs/>
          <w:color w:val="000000"/>
        </w:rPr>
        <w:t>、</w:t>
      </w:r>
      <w:r>
        <w:rPr>
          <w:rFonts w:ascii="Times New Roman" w:hAnsi="Times New Roman"/>
          <w:bCs/>
          <w:color w:val="000000"/>
        </w:rPr>
        <w:t>其他缺陷或其他审查意见，并提出整改要求。</w:t>
      </w:r>
    </w:p>
    <w:p w14:paraId="55FB2008">
      <w:pPr>
        <w:pStyle w:val="3"/>
      </w:pPr>
      <w:bookmarkStart w:id="147" w:name="_Toc2007244066"/>
      <w:bookmarkStart w:id="148" w:name="_Toc1945264251"/>
      <w:bookmarkStart w:id="149" w:name="_Toc474074084"/>
      <w:bookmarkStart w:id="150" w:name="_Toc771461938"/>
      <w:bookmarkStart w:id="151" w:name="_Toc1772150227"/>
      <w:bookmarkStart w:id="152" w:name="_Toc1806125443"/>
      <w:bookmarkStart w:id="153" w:name="_Toc231665514"/>
      <w:bookmarkStart w:id="154" w:name="_Toc1985368148"/>
      <w:bookmarkStart w:id="155" w:name="_Toc1956851865"/>
      <w:r>
        <w:rPr>
          <w:color w:val="000000"/>
          <w:szCs w:val="32"/>
        </w:rPr>
        <w:t xml:space="preserve">4.5  </w:t>
      </w:r>
      <w:r>
        <w:t>投标担保的退还</w:t>
      </w:r>
      <w:bookmarkEnd w:id="147"/>
      <w:bookmarkEnd w:id="148"/>
      <w:bookmarkEnd w:id="149"/>
      <w:bookmarkEnd w:id="150"/>
      <w:bookmarkEnd w:id="151"/>
      <w:bookmarkEnd w:id="152"/>
      <w:bookmarkEnd w:id="153"/>
      <w:bookmarkEnd w:id="154"/>
      <w:bookmarkEnd w:id="155"/>
    </w:p>
    <w:p w14:paraId="1E08B07E">
      <w:pPr>
        <w:adjustRightInd w:val="0"/>
        <w:snapToGrid w:val="0"/>
        <w:rPr>
          <w:rFonts w:ascii="Times New Roman" w:hAnsi="Times New Roman"/>
        </w:rPr>
      </w:pPr>
      <w:r>
        <w:rPr>
          <w:rFonts w:ascii="Times New Roman" w:hAnsi="Times New Roman"/>
          <w:b/>
          <w:color w:val="000000"/>
        </w:rPr>
        <w:t>4.5.1</w:t>
      </w:r>
      <w:r>
        <w:rPr>
          <w:rFonts w:ascii="Times New Roman" w:hAnsi="Times New Roman"/>
        </w:rPr>
        <w:t xml:space="preserve">  招标文件约定收取投标保证金的，招标人最迟应当在书面合同订立后 5 日内向中标人和未中标的投标人退还投标保证金及银行同期存款利息。</w:t>
      </w:r>
    </w:p>
    <w:p w14:paraId="4E67A697">
      <w:pPr>
        <w:rPr>
          <w:rFonts w:ascii="Times New Roman" w:hAnsi="Times New Roman"/>
        </w:rPr>
      </w:pPr>
      <w:r>
        <w:rPr>
          <w:rFonts w:ascii="Times New Roman" w:hAnsi="Times New Roman"/>
          <w:b/>
          <w:color w:val="000000"/>
        </w:rPr>
        <w:t>4.5.2</w:t>
      </w:r>
      <w:r>
        <w:rPr>
          <w:rFonts w:ascii="Times New Roman" w:hAnsi="Times New Roman"/>
        </w:rPr>
        <w:t xml:space="preserve">  中标人无正当理由不与招标人订立合同、在签订合同时向招标人提出附加条件、不按照招标文件要求提交履约担保的，招标人有权不予退还投标保证金。</w:t>
      </w:r>
    </w:p>
    <w:p w14:paraId="796EE05E">
      <w:pPr>
        <w:pStyle w:val="3"/>
      </w:pPr>
      <w:bookmarkStart w:id="156" w:name="_Toc652174830"/>
      <w:bookmarkStart w:id="157" w:name="_Toc2104839344"/>
      <w:bookmarkStart w:id="158" w:name="_Toc920534473"/>
      <w:bookmarkStart w:id="159" w:name="_Toc869534079"/>
      <w:bookmarkStart w:id="160" w:name="_Toc1340262099"/>
      <w:bookmarkStart w:id="161" w:name="_Toc508528072"/>
      <w:bookmarkStart w:id="162" w:name="_Toc231665515"/>
      <w:bookmarkStart w:id="163" w:name="_Toc2105769890"/>
      <w:bookmarkStart w:id="164" w:name="_Toc2022343942"/>
      <w:r>
        <w:rPr>
          <w:color w:val="000000"/>
          <w:szCs w:val="32"/>
        </w:rPr>
        <w:t xml:space="preserve">4.6  </w:t>
      </w:r>
      <w:r>
        <w:t>履约担保</w:t>
      </w:r>
      <w:bookmarkEnd w:id="156"/>
      <w:bookmarkEnd w:id="157"/>
      <w:bookmarkEnd w:id="158"/>
      <w:bookmarkEnd w:id="159"/>
      <w:bookmarkEnd w:id="160"/>
      <w:bookmarkEnd w:id="161"/>
      <w:bookmarkEnd w:id="162"/>
      <w:bookmarkEnd w:id="163"/>
      <w:bookmarkEnd w:id="164"/>
    </w:p>
    <w:p w14:paraId="2DA27D78">
      <w:pPr>
        <w:adjustRightInd w:val="0"/>
        <w:snapToGrid w:val="0"/>
        <w:rPr>
          <w:rFonts w:ascii="Times New Roman" w:hAnsi="Times New Roman"/>
        </w:rPr>
      </w:pPr>
      <w:r>
        <w:rPr>
          <w:rFonts w:ascii="Times New Roman" w:hAnsi="Times New Roman"/>
          <w:b/>
          <w:color w:val="000000"/>
        </w:rPr>
        <w:t>4.6.1</w:t>
      </w:r>
      <w:r>
        <w:rPr>
          <w:rFonts w:ascii="Times New Roman" w:hAnsi="Times New Roman"/>
        </w:rPr>
        <w:t xml:space="preserve">  发包人应核查承包人提交的履约担保是否符合招标文件和合同约定，确认担保金额、形式和期限满足要求。</w:t>
      </w:r>
    </w:p>
    <w:p w14:paraId="4DB4403B">
      <w:pPr>
        <w:rPr>
          <w:rFonts w:ascii="Times New Roman" w:hAnsi="Times New Roman"/>
        </w:rPr>
      </w:pPr>
      <w:r>
        <w:rPr>
          <w:rFonts w:ascii="Times New Roman" w:hAnsi="Times New Roman"/>
          <w:b/>
          <w:color w:val="000000"/>
        </w:rPr>
        <w:t>4.6.2</w:t>
      </w:r>
      <w:r>
        <w:rPr>
          <w:rFonts w:ascii="Times New Roman" w:hAnsi="Times New Roman"/>
        </w:rPr>
        <w:t xml:space="preserve">  合同履行完毕后，发包人应按规定办理履约担保退还手续。</w:t>
      </w:r>
    </w:p>
    <w:p w14:paraId="1710F6E5">
      <w:pPr>
        <w:pStyle w:val="3"/>
      </w:pPr>
      <w:bookmarkStart w:id="165" w:name="_Toc520754709"/>
      <w:bookmarkStart w:id="166" w:name="_Toc93105965"/>
      <w:bookmarkStart w:id="167" w:name="_Toc231665516"/>
      <w:bookmarkStart w:id="168" w:name="_Toc1356605228"/>
      <w:bookmarkStart w:id="169" w:name="_Toc43175637"/>
      <w:bookmarkStart w:id="170" w:name="_Toc1698545673"/>
      <w:bookmarkStart w:id="171" w:name="_Toc7522498"/>
      <w:bookmarkStart w:id="172" w:name="_Toc1222357842"/>
      <w:bookmarkStart w:id="173" w:name="_Toc74292262"/>
      <w:r>
        <w:rPr>
          <w:color w:val="000000"/>
          <w:szCs w:val="32"/>
        </w:rPr>
        <w:t xml:space="preserve">4.7  </w:t>
      </w:r>
      <w:r>
        <w:t>保  险</w:t>
      </w:r>
      <w:bookmarkEnd w:id="165"/>
      <w:bookmarkEnd w:id="166"/>
      <w:bookmarkEnd w:id="167"/>
      <w:bookmarkEnd w:id="168"/>
      <w:bookmarkEnd w:id="169"/>
      <w:bookmarkEnd w:id="170"/>
      <w:bookmarkEnd w:id="171"/>
      <w:bookmarkEnd w:id="172"/>
      <w:bookmarkEnd w:id="173"/>
    </w:p>
    <w:p w14:paraId="00DC7268">
      <w:pPr>
        <w:adjustRightInd w:val="0"/>
        <w:snapToGrid w:val="0"/>
        <w:rPr>
          <w:rFonts w:ascii="Times New Roman" w:hAnsi="Times New Roman"/>
        </w:rPr>
      </w:pPr>
      <w:r>
        <w:rPr>
          <w:rFonts w:ascii="Times New Roman" w:hAnsi="Times New Roman"/>
          <w:b/>
          <w:color w:val="000000"/>
        </w:rPr>
        <w:t>4.7.1</w:t>
      </w:r>
      <w:r>
        <w:rPr>
          <w:rFonts w:ascii="Times New Roman" w:hAnsi="Times New Roman"/>
        </w:rPr>
        <w:t xml:space="preserve">  发包人应核查合同双方是否按合同约定的险种、期限购买相关保险，对于合同履行期限超过保险期限的，发包人应督促投保人按合同约定办理保险续期事宜。</w:t>
      </w:r>
    </w:p>
    <w:p w14:paraId="241DB0A3">
      <w:pPr>
        <w:rPr>
          <w:rFonts w:ascii="Times New Roman" w:hAnsi="Times New Roman"/>
        </w:rPr>
      </w:pPr>
      <w:r>
        <w:rPr>
          <w:rFonts w:ascii="Times New Roman" w:hAnsi="Times New Roman"/>
          <w:b/>
          <w:color w:val="000000"/>
        </w:rPr>
        <w:t>4.7.2</w:t>
      </w:r>
      <w:r>
        <w:rPr>
          <w:rFonts w:ascii="Times New Roman" w:hAnsi="Times New Roman"/>
        </w:rPr>
        <w:t xml:space="preserve">  发生保险事故后，发包人应督促投保人及时向保险人索赔；必要时发包人应协助索赔，保障合同各方权益。</w:t>
      </w:r>
    </w:p>
    <w:p w14:paraId="220E212E">
      <w:pPr>
        <w:pStyle w:val="3"/>
      </w:pPr>
      <w:bookmarkStart w:id="174" w:name="_Toc766145831"/>
      <w:bookmarkStart w:id="175" w:name="_Toc1631408650"/>
      <w:bookmarkStart w:id="176" w:name="_Toc231665517"/>
      <w:bookmarkStart w:id="177" w:name="_Toc2052655445"/>
      <w:bookmarkStart w:id="178" w:name="_Toc1278010465"/>
      <w:bookmarkStart w:id="179" w:name="_Toc782819693"/>
      <w:bookmarkStart w:id="180" w:name="_Toc909435954"/>
      <w:bookmarkStart w:id="181" w:name="_Toc732237381"/>
      <w:bookmarkStart w:id="182" w:name="_Toc1276289411"/>
      <w:r>
        <w:rPr>
          <w:color w:val="000000"/>
          <w:szCs w:val="32"/>
        </w:rPr>
        <w:t xml:space="preserve">4.8  </w:t>
      </w:r>
      <w:r>
        <w:t>前期准备</w:t>
      </w:r>
      <w:bookmarkEnd w:id="174"/>
      <w:bookmarkEnd w:id="175"/>
      <w:bookmarkEnd w:id="176"/>
      <w:bookmarkEnd w:id="177"/>
      <w:bookmarkEnd w:id="178"/>
      <w:bookmarkEnd w:id="179"/>
      <w:bookmarkEnd w:id="180"/>
      <w:bookmarkEnd w:id="181"/>
      <w:bookmarkEnd w:id="182"/>
    </w:p>
    <w:p w14:paraId="131B9707">
      <w:pPr>
        <w:adjustRightInd w:val="0"/>
        <w:snapToGrid w:val="0"/>
        <w:rPr>
          <w:rFonts w:ascii="Times New Roman" w:hAnsi="Times New Roman"/>
        </w:rPr>
      </w:pPr>
      <w:r>
        <w:rPr>
          <w:rFonts w:ascii="Times New Roman" w:hAnsi="Times New Roman"/>
          <w:b/>
          <w:color w:val="000000"/>
        </w:rPr>
        <w:t>4.8.1</w:t>
      </w:r>
      <w:r>
        <w:rPr>
          <w:rFonts w:ascii="Times New Roman" w:hAnsi="Times New Roman"/>
        </w:rPr>
        <w:t xml:space="preserve">  合同订立后，发包人应按合同约定及时完成以下前期准备工作：</w:t>
      </w:r>
    </w:p>
    <w:p w14:paraId="247D90F1">
      <w:pPr>
        <w:adjustRightInd w:val="0"/>
        <w:snapToGrid w:val="0"/>
        <w:ind w:firstLine="480" w:firstLineChars="200"/>
        <w:rPr>
          <w:rFonts w:ascii="Times New Roman" w:hAnsi="Times New Roman"/>
        </w:rPr>
      </w:pPr>
      <w:r>
        <w:rPr>
          <w:rFonts w:ascii="Times New Roman" w:hAnsi="Times New Roman"/>
        </w:rPr>
        <w:t>1  办理合同履行所需的行政审批手续；</w:t>
      </w:r>
    </w:p>
    <w:p w14:paraId="002E41E3">
      <w:pPr>
        <w:adjustRightInd w:val="0"/>
        <w:snapToGrid w:val="0"/>
        <w:ind w:firstLine="480" w:firstLineChars="200"/>
        <w:rPr>
          <w:rFonts w:ascii="Times New Roman" w:hAnsi="Times New Roman"/>
        </w:rPr>
      </w:pPr>
      <w:r>
        <w:rPr>
          <w:rFonts w:ascii="Times New Roman" w:hAnsi="Times New Roman"/>
        </w:rPr>
        <w:t>2  向承包人提供合同约定的工作条件和交接界面；</w:t>
      </w:r>
    </w:p>
    <w:p w14:paraId="09A25282">
      <w:pPr>
        <w:adjustRightInd w:val="0"/>
        <w:snapToGrid w:val="0"/>
        <w:ind w:firstLine="480" w:firstLineChars="200"/>
        <w:rPr>
          <w:rFonts w:ascii="Times New Roman" w:hAnsi="Times New Roman"/>
        </w:rPr>
      </w:pPr>
      <w:r>
        <w:rPr>
          <w:rFonts w:ascii="Times New Roman" w:hAnsi="Times New Roman"/>
        </w:rPr>
        <w:t>3  向承包人提供合同约定的技术资料；</w:t>
      </w:r>
    </w:p>
    <w:p w14:paraId="3344076E">
      <w:pPr>
        <w:adjustRightInd w:val="0"/>
        <w:snapToGrid w:val="0"/>
        <w:ind w:firstLine="480" w:firstLineChars="200"/>
        <w:rPr>
          <w:rFonts w:ascii="Times New Roman" w:hAnsi="Times New Roman"/>
        </w:rPr>
      </w:pPr>
      <w:r>
        <w:rPr>
          <w:rFonts w:ascii="Times New Roman" w:hAnsi="Times New Roman"/>
        </w:rPr>
        <w:t>4  合同约定的其他前期准备工作</w:t>
      </w:r>
    </w:p>
    <w:p w14:paraId="53DDC807">
      <w:pPr>
        <w:adjustRightInd w:val="0"/>
        <w:snapToGrid w:val="0"/>
        <w:ind w:firstLine="720" w:firstLineChars="300"/>
        <w:rPr>
          <w:rFonts w:ascii="Times New Roman" w:hAnsi="Times New Roman"/>
        </w:rPr>
      </w:pPr>
      <w:r>
        <w:rPr>
          <w:rFonts w:hint="eastAsia" w:ascii="Times New Roman" w:hAnsi="Times New Roman"/>
        </w:rPr>
        <w:t>1）向承包人提供施工场地，明确场地范围、施工条件和交接界面；</w:t>
      </w:r>
    </w:p>
    <w:p w14:paraId="7E4F88E9">
      <w:pPr>
        <w:adjustRightInd w:val="0"/>
        <w:snapToGrid w:val="0"/>
        <w:ind w:firstLine="720" w:firstLineChars="300"/>
        <w:rPr>
          <w:rFonts w:ascii="Times New Roman" w:hAnsi="Times New Roman"/>
        </w:rPr>
      </w:pPr>
      <w:r>
        <w:rPr>
          <w:rFonts w:hint="eastAsia" w:ascii="Times New Roman" w:hAnsi="Times New Roman"/>
        </w:rPr>
        <w:t>2） 提供施工图纸、基准点、基准线、基准标高等技术资料；</w:t>
      </w:r>
    </w:p>
    <w:p w14:paraId="4C4440B7">
      <w:pPr>
        <w:adjustRightInd w:val="0"/>
        <w:snapToGrid w:val="0"/>
        <w:ind w:firstLine="720" w:firstLineChars="300"/>
        <w:rPr>
          <w:rFonts w:ascii="Times New Roman" w:hAnsi="Times New Roman"/>
        </w:rPr>
      </w:pPr>
      <w:r>
        <w:rPr>
          <w:rFonts w:hint="eastAsia" w:ascii="Times New Roman" w:hAnsi="Times New Roman"/>
        </w:rPr>
        <w:t>3）做好施工现场通水、通电、通路、通信及场地平整等条件保障。</w:t>
      </w:r>
    </w:p>
    <w:p w14:paraId="71737FDF">
      <w:pPr>
        <w:adjustRightInd w:val="0"/>
        <w:snapToGrid w:val="0"/>
        <w:rPr>
          <w:rFonts w:ascii="Times New Roman" w:hAnsi="Times New Roman"/>
        </w:rPr>
      </w:pPr>
      <w:r>
        <w:rPr>
          <w:rFonts w:hint="eastAsia" w:ascii="Times New Roman" w:hAnsi="Times New Roman"/>
        </w:rPr>
        <w:t xml:space="preserve">    5工程总承包项目合同约定的其他前期准备工作</w:t>
      </w:r>
    </w:p>
    <w:p w14:paraId="76FD9494">
      <w:pPr>
        <w:adjustRightInd w:val="0"/>
        <w:snapToGrid w:val="0"/>
        <w:ind w:firstLine="720" w:firstLineChars="300"/>
        <w:rPr>
          <w:rFonts w:ascii="Times New Roman" w:hAnsi="Times New Roman"/>
        </w:rPr>
      </w:pPr>
      <w:r>
        <w:rPr>
          <w:rFonts w:hint="eastAsia" w:ascii="Times New Roman" w:hAnsi="Times New Roman"/>
        </w:rPr>
        <w:t>1）《发包人要求》及相关技术文件；</w:t>
      </w:r>
    </w:p>
    <w:p w14:paraId="7939FAA8">
      <w:pPr>
        <w:adjustRightInd w:val="0"/>
        <w:snapToGrid w:val="0"/>
        <w:ind w:firstLine="720" w:firstLineChars="300"/>
        <w:rPr>
          <w:rFonts w:ascii="Times New Roman" w:hAnsi="Times New Roman"/>
        </w:rPr>
      </w:pPr>
      <w:r>
        <w:rPr>
          <w:rFonts w:hint="eastAsia" w:ascii="Times New Roman" w:hAnsi="Times New Roman"/>
        </w:rPr>
        <w:t>2）其他合同约定由发包人提供的资料。</w:t>
      </w:r>
    </w:p>
    <w:p w14:paraId="4051F9D7">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rPr>
        <w:t>4.8.2</w:t>
      </w:r>
      <w:r>
        <w:rPr>
          <w:rFonts w:ascii="Times New Roman" w:hAnsi="Times New Roman"/>
        </w:rPr>
        <w:t xml:space="preserve">  </w:t>
      </w:r>
      <w:r>
        <w:rPr>
          <w:rFonts w:hint="eastAsia" w:ascii="Times New Roman" w:hAnsi="Times New Roman"/>
          <w:color w:val="000000" w:themeColor="text1"/>
          <w14:textFill>
            <w14:solidFill>
              <w14:schemeClr w14:val="tx1"/>
            </w14:solidFill>
          </w14:textFill>
        </w:rPr>
        <w:t>工程总承包项目的承包人应按合同约定的时间和方式，向发包人提供以下资料：</w:t>
      </w:r>
    </w:p>
    <w:p w14:paraId="23EA7BDB">
      <w:pPr>
        <w:adjustRightInd w:val="0"/>
        <w:snapToGrid w:val="0"/>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《承包人建议书》及相关技术文件，在完成审查后为《经审查的承包人建议书》；</w:t>
      </w:r>
    </w:p>
    <w:p w14:paraId="759E56B9">
      <w:pPr>
        <w:adjustRightInd w:val="0"/>
        <w:snapToGrid w:val="0"/>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其他合同约定由承包人提供的资料。</w:t>
      </w:r>
    </w:p>
    <w:p w14:paraId="5671F310">
      <w:pPr>
        <w:adjustRightInd w:val="0"/>
        <w:snapToGrid w:val="0"/>
        <w:ind w:firstLine="480" w:firstLineChars="200"/>
        <w:rPr>
          <w:rFonts w:ascii="Times New Roman" w:hAnsi="Times New Roman"/>
          <w:color w:val="0000FF"/>
        </w:rPr>
      </w:pPr>
      <w:r>
        <w:rPr>
          <w:rFonts w:hint="eastAsia" w:ascii="Times New Roman" w:hAnsi="Times New Roman"/>
          <w:bCs/>
          <w:color w:val="000000" w:themeColor="text1"/>
          <w14:textFill>
            <w14:solidFill>
              <w14:schemeClr w14:val="tx1"/>
            </w14:solidFill>
          </w14:textFill>
        </w:rPr>
        <w:t>除因《发包人要求》以及其所提供资料的错误导致外，承包人文件存在错误、遗漏、含混、矛盾、不充分之处或其他缺陷的，无论是否对发包人进行了交底、是否通过了发包人的审查或者是否获得了发包人的同意，承包人均应自行对上述缺陷进行改正、重新送审查，由此导致的工程延误和费用增加，由承包人承担，并按照合同约定处理。</w:t>
      </w:r>
    </w:p>
    <w:p w14:paraId="6C869064">
      <w:pPr>
        <w:rPr>
          <w:rFonts w:ascii="Times New Roman" w:hAnsi="Times New Roman"/>
        </w:rPr>
      </w:pPr>
      <w:r>
        <w:rPr>
          <w:rFonts w:ascii="Times New Roman" w:hAnsi="Times New Roman"/>
          <w:b/>
          <w:color w:val="000000"/>
        </w:rPr>
        <w:t>4.8.3</w:t>
      </w:r>
      <w:r>
        <w:rPr>
          <w:rFonts w:ascii="Times New Roman" w:hAnsi="Times New Roman"/>
        </w:rPr>
        <w:t xml:space="preserve">  前期准备阶段的各项文件、记录和审批手续应整理归档，纳入</w:t>
      </w:r>
      <w:r>
        <w:rPr>
          <w:rFonts w:ascii="Times New Roman" w:hAnsi="Times New Roman"/>
          <w:color w:val="4472C4" w:themeColor="accent1"/>
          <w14:textFill>
            <w14:solidFill>
              <w14:schemeClr w14:val="accent1"/>
            </w14:solidFill>
          </w14:textFill>
        </w:rPr>
        <w:t>履约</w:t>
      </w:r>
      <w:r>
        <w:rPr>
          <w:rFonts w:hint="eastAsia" w:ascii="Times New Roman" w:hAnsi="Times New Roman"/>
          <w:color w:val="4472C4" w:themeColor="accent1"/>
          <w14:textFill>
            <w14:solidFill>
              <w14:schemeClr w14:val="accent1"/>
            </w14:solidFill>
          </w14:textFill>
        </w:rPr>
        <w:t>管理</w:t>
      </w:r>
      <w:r>
        <w:rPr>
          <w:rFonts w:ascii="Times New Roman" w:hAnsi="Times New Roman"/>
        </w:rPr>
        <w:t>档案。</w:t>
      </w:r>
    </w:p>
    <w:p w14:paraId="015E3588">
      <w:pPr>
        <w:adjustRightInd w:val="0"/>
        <w:snapToGrid w:val="0"/>
        <w:ind w:firstLine="480" w:firstLineChars="200"/>
        <w:rPr>
          <w:rFonts w:ascii="Times New Roman" w:hAnsi="Times New Roman"/>
          <w:color w:val="0000FF"/>
        </w:rPr>
      </w:pPr>
    </w:p>
    <w:p w14:paraId="163856C9">
      <w:pPr>
        <w:ind w:firstLine="480" w:firstLineChars="200"/>
        <w:rPr>
          <w:rFonts w:ascii="Times New Roman" w:hAnsi="Times New Roman"/>
          <w:bCs/>
          <w:strike/>
          <w:color w:val="000000"/>
        </w:rPr>
      </w:pPr>
    </w:p>
    <w:p w14:paraId="0A660F3A">
      <w:pPr>
        <w:pStyle w:val="2"/>
      </w:pPr>
      <w:r>
        <w:rPr>
          <w:color w:val="000000"/>
          <w:sz w:val="24"/>
        </w:rPr>
        <w:br w:type="page"/>
      </w:r>
      <w:bookmarkStart w:id="183" w:name="_Toc124732154"/>
      <w:bookmarkStart w:id="184" w:name="_Toc231665518"/>
      <w:bookmarkStart w:id="185" w:name="_Toc502211252"/>
      <w:bookmarkStart w:id="186" w:name="_Toc2112410477"/>
      <w:bookmarkStart w:id="187" w:name="_Toc50307517"/>
      <w:bookmarkStart w:id="188" w:name="_Toc2073066135"/>
      <w:bookmarkStart w:id="189" w:name="_Toc86555915"/>
      <w:bookmarkStart w:id="190" w:name="_Toc1867646427"/>
      <w:bookmarkStart w:id="191" w:name="_Toc833508828"/>
      <w:r>
        <w:rPr>
          <w:color w:val="000000"/>
          <w:szCs w:val="32"/>
        </w:rPr>
        <w:t xml:space="preserve">5 </w:t>
      </w:r>
      <w:r>
        <w:t xml:space="preserve"> 风险管理</w:t>
      </w:r>
      <w:bookmarkEnd w:id="183"/>
      <w:bookmarkEnd w:id="184"/>
      <w:bookmarkEnd w:id="185"/>
      <w:bookmarkEnd w:id="186"/>
      <w:bookmarkEnd w:id="187"/>
      <w:bookmarkEnd w:id="188"/>
      <w:bookmarkEnd w:id="189"/>
      <w:bookmarkEnd w:id="190"/>
      <w:bookmarkEnd w:id="191"/>
    </w:p>
    <w:p w14:paraId="0862D783">
      <w:pPr>
        <w:pStyle w:val="3"/>
      </w:pPr>
      <w:bookmarkStart w:id="192" w:name="_Toc1569133459"/>
      <w:bookmarkStart w:id="193" w:name="_Toc148998440"/>
      <w:bookmarkStart w:id="194" w:name="_Toc231665519"/>
      <w:bookmarkStart w:id="195" w:name="_Toc1622183411"/>
      <w:bookmarkStart w:id="196" w:name="_Toc556628064"/>
      <w:bookmarkStart w:id="197" w:name="_Toc429184161"/>
      <w:bookmarkStart w:id="198" w:name="_Toc666211763"/>
      <w:bookmarkStart w:id="199" w:name="_Toc1534108298"/>
      <w:bookmarkStart w:id="200" w:name="_Toc1245297992"/>
      <w:r>
        <w:rPr>
          <w:color w:val="000000"/>
          <w:szCs w:val="32"/>
        </w:rPr>
        <w:t xml:space="preserve">5.1  </w:t>
      </w:r>
      <w:r>
        <w:t>一般规定</w:t>
      </w:r>
      <w:bookmarkEnd w:id="192"/>
      <w:bookmarkEnd w:id="193"/>
      <w:bookmarkEnd w:id="194"/>
      <w:bookmarkEnd w:id="195"/>
      <w:bookmarkEnd w:id="196"/>
      <w:bookmarkEnd w:id="197"/>
      <w:bookmarkEnd w:id="198"/>
      <w:bookmarkEnd w:id="199"/>
      <w:bookmarkEnd w:id="200"/>
    </w:p>
    <w:p w14:paraId="52F27798">
      <w:pPr>
        <w:adjustRightInd w:val="0"/>
        <w:snapToGrid w:val="0"/>
        <w:rPr>
          <w:rFonts w:ascii="Times New Roman" w:hAnsi="Times New Roman"/>
        </w:rPr>
      </w:pPr>
      <w:r>
        <w:rPr>
          <w:rFonts w:ascii="Times New Roman" w:hAnsi="Times New Roman"/>
          <w:b/>
        </w:rPr>
        <w:t>5.1.1</w:t>
      </w:r>
      <w:r>
        <w:rPr>
          <w:rFonts w:ascii="Times New Roman" w:hAnsi="Times New Roman"/>
        </w:rPr>
        <w:t xml:space="preserve">  风险管理应贯穿合同履行全过程，对可能影响合同履约的各类风险进行识别、评估、应对和监控。</w:t>
      </w:r>
    </w:p>
    <w:p w14:paraId="3AE2F0DA">
      <w:pPr>
        <w:rPr>
          <w:rFonts w:ascii="Times New Roman" w:hAnsi="Times New Roman"/>
        </w:rPr>
      </w:pPr>
      <w:r>
        <w:rPr>
          <w:rFonts w:ascii="Times New Roman" w:hAnsi="Times New Roman"/>
          <w:b/>
        </w:rPr>
        <w:t>5.1.2</w:t>
      </w:r>
      <w:r>
        <w:rPr>
          <w:rFonts w:ascii="Times New Roman" w:hAnsi="Times New Roman"/>
        </w:rPr>
        <w:t xml:space="preserve">  发包人应建立项目风险管理机制，明确风险管理职责，督促承包人落实风险防控措施。</w:t>
      </w:r>
    </w:p>
    <w:p w14:paraId="2F3EA946">
      <w:pPr>
        <w:pStyle w:val="3"/>
      </w:pPr>
      <w:bookmarkStart w:id="201" w:name="_Toc146858221"/>
      <w:bookmarkStart w:id="202" w:name="_Toc2047921435"/>
      <w:bookmarkStart w:id="203" w:name="_Toc32956088"/>
      <w:bookmarkStart w:id="204" w:name="_Toc231665520"/>
      <w:bookmarkStart w:id="205" w:name="_Toc1587363133"/>
      <w:bookmarkStart w:id="206" w:name="_Toc1914976640"/>
      <w:bookmarkStart w:id="207" w:name="_Toc2022534469"/>
      <w:bookmarkStart w:id="208" w:name="_Toc1772208096"/>
      <w:bookmarkStart w:id="209" w:name="_Toc1312568003"/>
      <w:r>
        <w:rPr>
          <w:color w:val="000000"/>
          <w:szCs w:val="32"/>
        </w:rPr>
        <w:t xml:space="preserve">5.2  </w:t>
      </w:r>
      <w:r>
        <w:t>风险识别</w:t>
      </w:r>
      <w:bookmarkEnd w:id="201"/>
      <w:bookmarkEnd w:id="202"/>
      <w:bookmarkEnd w:id="203"/>
      <w:bookmarkEnd w:id="204"/>
      <w:bookmarkEnd w:id="205"/>
      <w:bookmarkEnd w:id="206"/>
      <w:bookmarkEnd w:id="207"/>
      <w:bookmarkEnd w:id="208"/>
      <w:bookmarkEnd w:id="209"/>
    </w:p>
    <w:p w14:paraId="11F0A040">
      <w:pPr>
        <w:adjustRightInd w:val="0"/>
        <w:snapToGrid w:val="0"/>
        <w:rPr>
          <w:rFonts w:ascii="Times New Roman" w:hAnsi="Times New Roman"/>
        </w:rPr>
      </w:pPr>
      <w:r>
        <w:rPr>
          <w:rFonts w:ascii="Times New Roman" w:hAnsi="Times New Roman"/>
          <w:b/>
        </w:rPr>
        <w:t>5.2.1</w:t>
      </w:r>
      <w:r>
        <w:rPr>
          <w:rFonts w:ascii="Times New Roman" w:hAnsi="Times New Roman"/>
        </w:rPr>
        <w:t xml:space="preserve">  合同订立后，发包人应组织相关方识别风险，建立风险清单。风险识别应涵盖法律、政策、市场、技术、管理等方面，并结合合同类型识别专业风险。</w:t>
      </w:r>
    </w:p>
    <w:p w14:paraId="5740651B">
      <w:pPr>
        <w:rPr>
          <w:rFonts w:ascii="Times New Roman" w:hAnsi="Times New Roman"/>
          <w:color w:val="000000" w:themeColor="text1"/>
          <w14:textFill>
            <w14:solidFill>
              <w14:schemeClr w14:val="tx1"/>
            </w14:solidFill>
          </w14:textFill>
        </w:rPr>
      </w:pPr>
      <w:r>
        <w:rPr>
          <w:rFonts w:ascii="Times New Roman" w:hAnsi="Times New Roman"/>
          <w:b/>
        </w:rPr>
        <w:t>5.2.2</w:t>
      </w:r>
      <w:r>
        <w:rPr>
          <w:rFonts w:ascii="Times New Roman" w:hAnsi="Times New Roman"/>
        </w:rPr>
        <w:t xml:space="preserve">  发包人应组织对识别出的风险进行评估，确定风险等级和影响程度，明确风险分担原则</w:t>
      </w:r>
      <w:r>
        <w:rPr>
          <w:rFonts w:hint="eastAsia" w:ascii="Times New Roman" w:hAnsi="Times New Roman"/>
          <w:color w:val="000000" w:themeColor="text1"/>
          <w14:textFill>
            <w14:solidFill>
              <w14:schemeClr w14:val="tx1"/>
            </w14:solidFill>
          </w14:textFill>
        </w:rPr>
        <w:t>和应对措施</w:t>
      </w:r>
      <w:r>
        <w:rPr>
          <w:rFonts w:ascii="Times New Roman" w:hAnsi="Times New Roman"/>
          <w:color w:val="000000" w:themeColor="text1"/>
          <w14:textFill>
            <w14:solidFill>
              <w14:schemeClr w14:val="tx1"/>
            </w14:solidFill>
          </w14:textFill>
        </w:rPr>
        <w:t>。</w:t>
      </w:r>
    </w:p>
    <w:p w14:paraId="5C739CF1">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鼓励发包人和承包人运用保险手段增强防范风险能力。</w:t>
      </w:r>
    </w:p>
    <w:p w14:paraId="5A58A51D">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5.2.3</w:t>
      </w:r>
      <w:r>
        <w:rPr>
          <w:rFonts w:hint="eastAsia" w:ascii="Times New Roman" w:hAnsi="Times New Roman"/>
          <w:color w:val="000000" w:themeColor="text1"/>
          <w14:textFill>
            <w14:solidFill>
              <w14:schemeClr w14:val="tx1"/>
            </w14:solidFill>
          </w14:textFill>
        </w:rPr>
        <w:t xml:space="preserve">  施工合同履行中的风险识别与分担：</w:t>
      </w:r>
    </w:p>
    <w:p w14:paraId="15C32207">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施工合同履行中的风险主要包括：</w:t>
      </w:r>
    </w:p>
    <w:p w14:paraId="79FD2DDF">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1）地质条件风险；</w:t>
      </w:r>
    </w:p>
    <w:p w14:paraId="00D5C139">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2）施工安全风险；</w:t>
      </w:r>
    </w:p>
    <w:p w14:paraId="236248E7">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3）工期延误风险；</w:t>
      </w:r>
    </w:p>
    <w:p w14:paraId="0C938B4E">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4）材料价格波动风险；</w:t>
      </w:r>
    </w:p>
    <w:p w14:paraId="1353F5F5">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5）劳务用工风险；</w:t>
      </w:r>
    </w:p>
    <w:p w14:paraId="170F8632">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6）分包管理风险；</w:t>
      </w:r>
    </w:p>
    <w:p w14:paraId="499BE140">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7）环境保护风险。</w:t>
      </w:r>
    </w:p>
    <w:p w14:paraId="7C1D3577">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上述风险中，发包人承担的风险主要包括：</w:t>
      </w:r>
    </w:p>
    <w:p w14:paraId="07991D41">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1）主要工程材料、设备、人工价格波动幅度超过合同约定幅度的部分；</w:t>
      </w:r>
    </w:p>
    <w:p w14:paraId="18040661">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2）因国家法律法规政策变化引起的合同价格的变化；</w:t>
      </w:r>
    </w:p>
    <w:p w14:paraId="6D7580D1">
      <w:pPr>
        <w:ind w:left="1080" w:leftChars="300" w:hanging="360" w:hangingChars="15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3）不可预见的地质条件以及施工中遇到的不可预见的外界障碍或条件造成的工程费用和工期的变化；</w:t>
      </w:r>
    </w:p>
    <w:p w14:paraId="4FDBBA00">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4）因发包人原因产生的工程费用和工期的变化；</w:t>
      </w:r>
    </w:p>
    <w:p w14:paraId="3B7B7761">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5）不可抗力造成的工程费用和工期的变化；</w:t>
      </w:r>
    </w:p>
    <w:p w14:paraId="0A9F94DD">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6）因工程建设征地补偿和移民安置等发生重大变化引起的调整等。</w:t>
      </w:r>
    </w:p>
    <w:p w14:paraId="271EA6D9">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  除本款第2项所列风险外，其余风险由承包人承担，具体风险分担内容由双方在合同中约定。</w:t>
      </w:r>
    </w:p>
    <w:p w14:paraId="5DF38E06">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 xml:space="preserve">5.2.4  </w:t>
      </w:r>
      <w:r>
        <w:rPr>
          <w:rFonts w:hint="eastAsia" w:ascii="Times New Roman" w:hAnsi="Times New Roman"/>
          <w:color w:val="000000" w:themeColor="text1"/>
          <w14:textFill>
            <w14:solidFill>
              <w14:schemeClr w14:val="tx1"/>
            </w14:solidFill>
          </w14:textFill>
        </w:rPr>
        <w:t>工程总承包合同履行中的风险识别与分担：</w:t>
      </w:r>
    </w:p>
    <w:p w14:paraId="639C690C">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工程总承包合同履行中的风险主要包括：</w:t>
      </w:r>
    </w:p>
    <w:p w14:paraId="0276EEA5">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1）《发包人要求》不明确或不完整风险；</w:t>
      </w:r>
    </w:p>
    <w:p w14:paraId="27ADD808">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2）地质条件不可预见风险；</w:t>
      </w:r>
    </w:p>
    <w:p w14:paraId="53456534">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3）设计采购施工衔接风险；</w:t>
      </w:r>
    </w:p>
    <w:p w14:paraId="28485282">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4）联合体履约风险；</w:t>
      </w:r>
    </w:p>
    <w:p w14:paraId="79921E2A">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5）长周期设备采购风险；</w:t>
      </w:r>
    </w:p>
    <w:p w14:paraId="759C2266">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6）性能考核不达标风险；</w:t>
      </w:r>
    </w:p>
    <w:p w14:paraId="01E087B0">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7）有经验的承包商可预见的风险；</w:t>
      </w:r>
    </w:p>
    <w:p w14:paraId="1DC21C51">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8）法律法规政策变化风险。</w:t>
      </w:r>
    </w:p>
    <w:p w14:paraId="3AC51DCE">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上述风险中，发包人承担的风险主要包括：</w:t>
      </w:r>
    </w:p>
    <w:p w14:paraId="3715322A">
      <w:pPr>
        <w:ind w:left="1080" w:leftChars="300" w:hanging="360" w:hangingChars="15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1）《发包人要求》不明确、不完整或有错误，导致承包人费用增加和工期延误的部分；</w:t>
      </w:r>
    </w:p>
    <w:p w14:paraId="4332564A">
      <w:pPr>
        <w:ind w:left="1080" w:leftChars="300" w:hanging="360" w:hangingChars="15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2）不可预见的地质条件以及施工中遇到的不可预见的外界障碍或条件造成的工程费用和工期的变化；</w:t>
      </w:r>
    </w:p>
    <w:p w14:paraId="7D253756">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3）因国家法律法规政策变化引起的合同价格的变化；</w:t>
      </w:r>
    </w:p>
    <w:p w14:paraId="17C8D202">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4）因发包人原因产生的工程费用和工期的变化；</w:t>
      </w:r>
    </w:p>
    <w:p w14:paraId="0E2D62A2">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5）不可抗力造成的工程费用和工期的变化；</w:t>
      </w:r>
    </w:p>
    <w:p w14:paraId="7E2D9466">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6）因工程建设征地补偿和移民安置等发生重大变化引起的调整等。</w:t>
      </w:r>
    </w:p>
    <w:p w14:paraId="35A30C0F">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  除本款第2项所列风险外，其余风险由承包人承担，具体风险分担内容由双方在合同中约定。</w:t>
      </w:r>
    </w:p>
    <w:p w14:paraId="4B1270CB">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5.2.5</w:t>
      </w:r>
      <w:r>
        <w:rPr>
          <w:rFonts w:hint="eastAsia" w:ascii="Times New Roman" w:hAnsi="Times New Roman"/>
          <w:color w:val="000000" w:themeColor="text1"/>
          <w14:textFill>
            <w14:solidFill>
              <w14:schemeClr w14:val="tx1"/>
            </w14:solidFill>
          </w14:textFill>
        </w:rPr>
        <w:t xml:space="preserve">  勘察合同履行中的风险识别与分担：</w:t>
      </w:r>
    </w:p>
    <w:p w14:paraId="1D7DF151">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勘察合同履行中的风险主要包括：</w:t>
      </w:r>
    </w:p>
    <w:p w14:paraId="039F748A">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1）未能充分预判地质条件复杂性的风险；</w:t>
      </w:r>
    </w:p>
    <w:p w14:paraId="174689E2">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2）勘察数据不准确或不完整的风险；</w:t>
      </w:r>
    </w:p>
    <w:p w14:paraId="08245BFA">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3）外业作业弄虚作假的风险；</w:t>
      </w:r>
    </w:p>
    <w:p w14:paraId="75E9341F">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4）勘察深度不满足设计要求的风险；</w:t>
      </w:r>
    </w:p>
    <w:p w14:paraId="0E819335">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5）现场作业安全管控不到位的风险。</w:t>
      </w:r>
    </w:p>
    <w:p w14:paraId="1BF91B2B">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上述风险中，发包人承担的风险主要包括：</w:t>
      </w:r>
    </w:p>
    <w:p w14:paraId="3E93FBF7">
      <w:pPr>
        <w:ind w:left="1080" w:leftChars="300" w:hanging="360" w:hangingChars="15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1）因发包人提供的勘察任务书、技术资料不明确或有错误，导致勘察工作返工或费用增加的部分；</w:t>
      </w:r>
    </w:p>
    <w:p w14:paraId="4E36072D">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2）因发包人原因导致勘察工期延误或费用增加的部分；</w:t>
      </w:r>
    </w:p>
    <w:p w14:paraId="09BE1807">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3）不可抗力造成的勘察费用和工期的变化。</w:t>
      </w:r>
    </w:p>
    <w:p w14:paraId="5CAC6D61">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  除本款第2项所列风险外，其余风险由承包人承担，具体风险分担内容由双方在合同中约定。</w:t>
      </w:r>
    </w:p>
    <w:p w14:paraId="5DECFBDA">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5.2.6</w:t>
      </w:r>
      <w:r>
        <w:rPr>
          <w:rFonts w:hint="eastAsia" w:ascii="Times New Roman" w:hAnsi="Times New Roman"/>
          <w:color w:val="000000" w:themeColor="text1"/>
          <w14:textFill>
            <w14:solidFill>
              <w14:schemeClr w14:val="tx1"/>
            </w14:solidFill>
          </w14:textFill>
        </w:rPr>
        <w:t xml:space="preserve">  设计合同履行中的风险识别与分担：</w:t>
      </w:r>
    </w:p>
    <w:p w14:paraId="6786BD53">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设计合同履行中的风险主要包括：</w:t>
      </w:r>
    </w:p>
    <w:p w14:paraId="3719FEE8">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1）设计任务书与功能需求不清晰的风险；</w:t>
      </w:r>
    </w:p>
    <w:p w14:paraId="7B54D761">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2）设计存在技术缺陷的风险；</w:t>
      </w:r>
    </w:p>
    <w:p w14:paraId="00D7A0EC">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3）设计文本深度不足的风险；</w:t>
      </w:r>
    </w:p>
    <w:p w14:paraId="6B453ACC">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4）各专业设计协调不到位的风险；</w:t>
      </w:r>
    </w:p>
    <w:p w14:paraId="59EDA5BC">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5）关键服务人员不到岗履职的风险。</w:t>
      </w:r>
    </w:p>
    <w:p w14:paraId="0CFC0BD2">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上述风险中，发包人承担的风险主要包括：</w:t>
      </w:r>
    </w:p>
    <w:p w14:paraId="3C5E27B1">
      <w:pPr>
        <w:ind w:left="1080" w:leftChars="300" w:hanging="360" w:hangingChars="15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1）因发包人提供的设计任务书、功能需求及基础资料不明确或有错误，导致设计工作返工或费用增加的部分；</w:t>
      </w:r>
    </w:p>
    <w:p w14:paraId="0325982E">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2）因发包人原因导致设计工期延误或费用增加的部分；</w:t>
      </w:r>
    </w:p>
    <w:p w14:paraId="544BDF3F">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3）不可抗力造成的设计费用和工期的变化。</w:t>
      </w:r>
    </w:p>
    <w:p w14:paraId="7DC0591D">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  除本款第2项所列风险外，其余风险由承包人承担，具体风险分担内容由双方在合同中约定。</w:t>
      </w:r>
    </w:p>
    <w:p w14:paraId="5727AD96">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5.2.7</w:t>
      </w:r>
      <w:r>
        <w:rPr>
          <w:rFonts w:hint="eastAsia" w:ascii="Times New Roman" w:hAnsi="Times New Roman"/>
          <w:color w:val="000000" w:themeColor="text1"/>
          <w14:textFill>
            <w14:solidFill>
              <w14:schemeClr w14:val="tx1"/>
            </w14:solidFill>
          </w14:textFill>
        </w:rPr>
        <w:t xml:space="preserve">  监理合同履行中的风险识别与分担：</w:t>
      </w:r>
    </w:p>
    <w:p w14:paraId="283B3DAB">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监理合同履行中的风险主要包括：</w:t>
      </w:r>
    </w:p>
    <w:p w14:paraId="03B98B5D">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1）监理履职不到位的风险；</w:t>
      </w:r>
    </w:p>
    <w:p w14:paraId="002411C8">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2）监理资料失实的风险；</w:t>
      </w:r>
    </w:p>
    <w:p w14:paraId="02CAD278">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3）未按监理规范执业的风险；</w:t>
      </w:r>
    </w:p>
    <w:p w14:paraId="39F8EA89">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4）监理人与承包人串通谋取不正当利益的风险。</w:t>
      </w:r>
    </w:p>
    <w:p w14:paraId="1D4A60AD">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上述风险中，发包人承担的风险主要包括：</w:t>
      </w:r>
    </w:p>
    <w:p w14:paraId="496B9B5F">
      <w:pPr>
        <w:ind w:left="1080" w:leftChars="300" w:hanging="360" w:hangingChars="15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1）因发包人提供资料不实或指令错误，导致监理人错误履职或费用增加的部分；</w:t>
      </w:r>
    </w:p>
    <w:p w14:paraId="40347323">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2）因发包人原因导致监理服务期限延长或费用增加的部分；</w:t>
      </w:r>
    </w:p>
    <w:p w14:paraId="3731E792">
      <w:pPr>
        <w:ind w:firstLine="720" w:firstLineChars="3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3）不可抗力造成的监理费用和期限的变化。</w:t>
      </w:r>
    </w:p>
    <w:p w14:paraId="108DAE6C">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  除本款第2项所列风险外，其余风险由承包人承担，具体风险分担内容由双方在合同中约定。</w:t>
      </w:r>
    </w:p>
    <w:p w14:paraId="26692BAB">
      <w:pPr>
        <w:pStyle w:val="3"/>
        <w:rPr>
          <w:color w:val="000000" w:themeColor="text1"/>
          <w14:textFill>
            <w14:solidFill>
              <w14:schemeClr w14:val="tx1"/>
            </w14:solidFill>
          </w14:textFill>
        </w:rPr>
      </w:pPr>
      <w:bookmarkStart w:id="210" w:name="_Toc1796667942"/>
      <w:bookmarkStart w:id="211" w:name="_Toc1134862702"/>
      <w:bookmarkStart w:id="212" w:name="_Toc1056492669"/>
      <w:bookmarkStart w:id="213" w:name="_Toc1171485771"/>
      <w:bookmarkStart w:id="214" w:name="_Toc231665521"/>
      <w:bookmarkStart w:id="215" w:name="_Toc1126098761"/>
      <w:bookmarkStart w:id="216" w:name="_Toc1856023857"/>
      <w:bookmarkStart w:id="217" w:name="_Toc379274744"/>
      <w:bookmarkStart w:id="218" w:name="_Toc862755229"/>
      <w:r>
        <w:rPr>
          <w:color w:val="000000" w:themeColor="text1"/>
          <w:szCs w:val="32"/>
          <w14:textFill>
            <w14:solidFill>
              <w14:schemeClr w14:val="tx1"/>
            </w14:solidFill>
          </w14:textFill>
        </w:rPr>
        <w:t xml:space="preserve">5.3  </w:t>
      </w:r>
      <w:r>
        <w:rPr>
          <w:color w:val="000000" w:themeColor="text1"/>
          <w14:textFill>
            <w14:solidFill>
              <w14:schemeClr w14:val="tx1"/>
            </w14:solidFill>
          </w14:textFill>
        </w:rPr>
        <w:t>风险防范</w:t>
      </w:r>
      <w:bookmarkEnd w:id="210"/>
      <w:bookmarkEnd w:id="211"/>
      <w:bookmarkEnd w:id="212"/>
      <w:bookmarkEnd w:id="213"/>
      <w:bookmarkEnd w:id="214"/>
      <w:bookmarkEnd w:id="215"/>
      <w:bookmarkEnd w:id="216"/>
      <w:bookmarkEnd w:id="217"/>
      <w:bookmarkEnd w:id="218"/>
    </w:p>
    <w:p w14:paraId="2BBD0F12">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5.3.1</w:t>
      </w:r>
      <w:r>
        <w:rPr>
          <w:rFonts w:ascii="Times New Roman" w:hAnsi="Times New Roman"/>
          <w:color w:val="000000" w:themeColor="text1"/>
          <w14:textFill>
            <w14:solidFill>
              <w14:schemeClr w14:val="tx1"/>
            </w14:solidFill>
          </w14:textFill>
        </w:rPr>
        <w:t xml:space="preserve">  发包人应督促承包人针对已识别风险制定防范措施和预警机制，明确风险应对预案。</w:t>
      </w:r>
    </w:p>
    <w:p w14:paraId="0EF7F81D">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5.3.2</w:t>
      </w:r>
      <w:r>
        <w:rPr>
          <w:rFonts w:ascii="Times New Roman" w:hAnsi="Times New Roman"/>
          <w:color w:val="000000" w:themeColor="text1"/>
          <w14:textFill>
            <w14:solidFill>
              <w14:schemeClr w14:val="tx1"/>
            </w14:solidFill>
          </w14:textFill>
        </w:rPr>
        <w:t xml:space="preserve">  发包人应加强风险信息的共享与沟通，协调各方共同降低风险发生概率。</w:t>
      </w:r>
    </w:p>
    <w:p w14:paraId="59F62A74">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5.3.3</w:t>
      </w:r>
      <w:r>
        <w:rPr>
          <w:rFonts w:hint="eastAsia" w:ascii="Times New Roman" w:hAnsi="Times New Roman"/>
          <w:color w:val="000000" w:themeColor="text1"/>
          <w14:textFill>
            <w14:solidFill>
              <w14:schemeClr w14:val="tx1"/>
            </w14:solidFill>
          </w14:textFill>
        </w:rPr>
        <w:t xml:space="preserve">  施工项目发包人应要求承包人对危大工程实行专项管理，监督专项施工方案的编制、论证、实施及验收；建立材料价格波动监测机制，明确价格调整触发条件和调整方法；加强工期动态监控，出现滞后及时纠偏；督促承包人规范劳务用工和分包管理，落实环保措施。</w:t>
      </w:r>
    </w:p>
    <w:p w14:paraId="53C78DA4">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5.3.4</w:t>
      </w:r>
      <w:r>
        <w:rPr>
          <w:rFonts w:hint="eastAsia" w:ascii="Times New Roman" w:hAnsi="Times New Roman"/>
          <w:color w:val="000000" w:themeColor="text1"/>
          <w14:textFill>
            <w14:solidFill>
              <w14:schemeClr w14:val="tx1"/>
            </w14:solidFill>
          </w14:textFill>
        </w:rPr>
        <w:t xml:space="preserve">  工程总承包项目发包人应确保《发包人要求》完整清晰，明确技术参数确定方法和计价规则；严格审查设计文件对《发包人要求》的响应性；建立变更审批程序、认定标准与价款调整规则；审核试运行与性能考核方案。</w:t>
      </w:r>
    </w:p>
    <w:p w14:paraId="29919CD4">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5.3.5</w:t>
      </w:r>
      <w:r>
        <w:rPr>
          <w:rFonts w:hint="eastAsia" w:ascii="Times New Roman" w:hAnsi="Times New Roman"/>
          <w:color w:val="000000" w:themeColor="text1"/>
          <w14:textFill>
            <w14:solidFill>
              <w14:schemeClr w14:val="tx1"/>
            </w14:solidFill>
          </w14:textFill>
        </w:rPr>
        <w:t xml:space="preserve">  勘察项目发包人应严格审查勘察大纲，监督外业作业真实性，对孔位、深度、取样及测试全过程核查，检查原始记录与影像资料，确保数据准确、成果合规，管控现场作业安全。</w:t>
      </w:r>
    </w:p>
    <w:p w14:paraId="523A3919">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5.3.6</w:t>
      </w:r>
      <w:r>
        <w:rPr>
          <w:rFonts w:hint="eastAsia" w:ascii="Times New Roman" w:hAnsi="Times New Roman"/>
          <w:color w:val="000000" w:themeColor="text1"/>
          <w14:textFill>
            <w14:solidFill>
              <w14:schemeClr w14:val="tx1"/>
            </w14:solidFill>
          </w14:textFill>
        </w:rPr>
        <w:t xml:space="preserve">  设计项目发包人应明确设计任务书与功能需求，强化设计成果审查、多级校核及专业协同，落实设计文件编制深度与规范要求，严控主要人员到岗履职及现场技术服务。</w:t>
      </w:r>
    </w:p>
    <w:p w14:paraId="1EAD43E2">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5.3.7</w:t>
      </w:r>
      <w:r>
        <w:rPr>
          <w:rFonts w:hint="eastAsia" w:ascii="Times New Roman" w:hAnsi="Times New Roman"/>
          <w:color w:val="000000" w:themeColor="text1"/>
          <w14:textFill>
            <w14:solidFill>
              <w14:schemeClr w14:val="tx1"/>
            </w14:solidFill>
          </w14:textFill>
        </w:rPr>
        <w:t xml:space="preserve">  监理项目发包人应监督监理人员到岗并严格按规范执业，核查监理资料的真实性与完整性，通过巡查、考核与监管，查处失职渎职及串通违规行为。</w:t>
      </w:r>
    </w:p>
    <w:p w14:paraId="7811F9BC">
      <w:pPr>
        <w:pStyle w:val="3"/>
        <w:rPr>
          <w:color w:val="000000" w:themeColor="text1"/>
          <w14:textFill>
            <w14:solidFill>
              <w14:schemeClr w14:val="tx1"/>
            </w14:solidFill>
          </w14:textFill>
        </w:rPr>
      </w:pPr>
      <w:bookmarkStart w:id="219" w:name="_Toc1087135385"/>
      <w:bookmarkStart w:id="220" w:name="_Toc1147800480"/>
      <w:bookmarkStart w:id="221" w:name="_Toc513118199"/>
      <w:bookmarkStart w:id="222" w:name="_Toc700977875"/>
      <w:bookmarkStart w:id="223" w:name="_Toc884380092"/>
      <w:bookmarkStart w:id="224" w:name="_Toc1369383683"/>
      <w:bookmarkStart w:id="225" w:name="_Toc1164861720"/>
      <w:bookmarkStart w:id="226" w:name="_Toc231665522"/>
      <w:bookmarkStart w:id="227" w:name="_Toc1677624191"/>
      <w:r>
        <w:rPr>
          <w:color w:val="000000" w:themeColor="text1"/>
          <w:szCs w:val="32"/>
          <w14:textFill>
            <w14:solidFill>
              <w14:schemeClr w14:val="tx1"/>
            </w14:solidFill>
          </w14:textFill>
        </w:rPr>
        <w:t xml:space="preserve">5.4  </w:t>
      </w:r>
      <w:r>
        <w:rPr>
          <w:color w:val="000000" w:themeColor="text1"/>
          <w14:textFill>
            <w14:solidFill>
              <w14:schemeClr w14:val="tx1"/>
            </w14:solidFill>
          </w14:textFill>
        </w:rPr>
        <w:t>风险应对</w:t>
      </w:r>
      <w:bookmarkEnd w:id="219"/>
      <w:bookmarkEnd w:id="220"/>
      <w:bookmarkEnd w:id="221"/>
      <w:bookmarkEnd w:id="222"/>
      <w:bookmarkEnd w:id="223"/>
      <w:bookmarkEnd w:id="224"/>
      <w:bookmarkEnd w:id="225"/>
      <w:bookmarkEnd w:id="226"/>
      <w:bookmarkEnd w:id="227"/>
    </w:p>
    <w:p w14:paraId="64A689D2">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5.4.1</w:t>
      </w:r>
      <w:r>
        <w:rPr>
          <w:rFonts w:ascii="Times New Roman" w:hAnsi="Times New Roman"/>
          <w:color w:val="000000" w:themeColor="text1"/>
          <w14:textFill>
            <w14:solidFill>
              <w14:schemeClr w14:val="tx1"/>
            </w14:solidFill>
          </w14:textFill>
        </w:rPr>
        <w:t xml:space="preserve">  风险发生后，责任方应立即启动应对预案，采取有效措施控制损失，并及时通报发包人。</w:t>
      </w:r>
    </w:p>
    <w:p w14:paraId="6402261D">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5.4.2</w:t>
      </w:r>
      <w:r>
        <w:rPr>
          <w:rFonts w:ascii="Times New Roman" w:hAnsi="Times New Roman"/>
          <w:color w:val="000000" w:themeColor="text1"/>
          <w14:textFill>
            <w14:solidFill>
              <w14:schemeClr w14:val="tx1"/>
            </w14:solidFill>
          </w14:textFill>
        </w:rPr>
        <w:t xml:space="preserve">  发包人应协调相关方按合同约定程序处理风险引发的变更、索赔等事项。</w:t>
      </w:r>
    </w:p>
    <w:p w14:paraId="417D04CC">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5.4.3</w:t>
      </w:r>
      <w:r>
        <w:rPr>
          <w:rFonts w:ascii="Times New Roman" w:hAnsi="Times New Roman"/>
          <w:color w:val="000000" w:themeColor="text1"/>
          <w14:textFill>
            <w14:solidFill>
              <w14:schemeClr w14:val="tx1"/>
            </w14:solidFill>
          </w14:textFill>
        </w:rPr>
        <w:t xml:space="preserve">  风险事件处理完毕后，发包人应组织总结评估，分析原因，完善风险防范机制。相关记录应纳入履约过程记录。</w:t>
      </w:r>
    </w:p>
    <w:p w14:paraId="742DCCEA">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bookmarkStart w:id="228" w:name="_Toc2138639940"/>
      <w:bookmarkStart w:id="229" w:name="_Toc229172110"/>
      <w:bookmarkStart w:id="230" w:name="_Toc1695195283"/>
      <w:bookmarkStart w:id="231" w:name="_Toc1081691534"/>
      <w:bookmarkStart w:id="232" w:name="_Toc265667671"/>
      <w:bookmarkStart w:id="233" w:name="_Toc260011101"/>
      <w:bookmarkStart w:id="234" w:name="_Toc231665523"/>
      <w:bookmarkStart w:id="235" w:name="_Toc1183134208"/>
      <w:bookmarkStart w:id="236" w:name="_Toc831477647"/>
      <w:r>
        <w:rPr>
          <w:color w:val="000000" w:themeColor="text1"/>
          <w:szCs w:val="32"/>
          <w14:textFill>
            <w14:solidFill>
              <w14:schemeClr w14:val="tx1"/>
            </w14:solidFill>
          </w14:textFill>
        </w:rPr>
        <w:t>6</w:t>
      </w:r>
      <w:r>
        <w:rPr>
          <w:color w:val="000000" w:themeColor="text1"/>
          <w14:textFill>
            <w14:solidFill>
              <w14:schemeClr w14:val="tx1"/>
            </w14:solidFill>
          </w14:textFill>
        </w:rPr>
        <w:t xml:space="preserve">  资源管理</w:t>
      </w:r>
      <w:bookmarkEnd w:id="228"/>
      <w:bookmarkEnd w:id="229"/>
      <w:bookmarkEnd w:id="230"/>
      <w:bookmarkEnd w:id="231"/>
      <w:bookmarkEnd w:id="232"/>
      <w:bookmarkEnd w:id="233"/>
      <w:bookmarkEnd w:id="234"/>
      <w:bookmarkEnd w:id="235"/>
      <w:bookmarkEnd w:id="236"/>
    </w:p>
    <w:p w14:paraId="1C1B1FCD">
      <w:pPr>
        <w:pStyle w:val="3"/>
        <w:rPr>
          <w:color w:val="000000" w:themeColor="text1"/>
          <w14:textFill>
            <w14:solidFill>
              <w14:schemeClr w14:val="tx1"/>
            </w14:solidFill>
          </w14:textFill>
        </w:rPr>
      </w:pPr>
      <w:bookmarkStart w:id="237" w:name="_Toc119236432"/>
      <w:bookmarkStart w:id="238" w:name="_Toc2100527475"/>
      <w:bookmarkStart w:id="239" w:name="_Toc149733702"/>
      <w:bookmarkStart w:id="240" w:name="_Toc826157474"/>
      <w:bookmarkStart w:id="241" w:name="_Toc1091257758"/>
      <w:bookmarkStart w:id="242" w:name="_Toc231665524"/>
      <w:bookmarkStart w:id="243" w:name="_Toc1558796283"/>
      <w:bookmarkStart w:id="244" w:name="_Toc45164702"/>
      <w:bookmarkStart w:id="245" w:name="_Toc374072219"/>
      <w:r>
        <w:rPr>
          <w:color w:val="000000" w:themeColor="text1"/>
          <w:szCs w:val="32"/>
          <w14:textFill>
            <w14:solidFill>
              <w14:schemeClr w14:val="tx1"/>
            </w14:solidFill>
          </w14:textFill>
        </w:rPr>
        <w:t xml:space="preserve">6.1  </w:t>
      </w:r>
      <w:r>
        <w:rPr>
          <w:color w:val="000000" w:themeColor="text1"/>
          <w14:textFill>
            <w14:solidFill>
              <w14:schemeClr w14:val="tx1"/>
            </w14:solidFill>
          </w14:textFill>
        </w:rPr>
        <w:t>一般规定</w:t>
      </w:r>
      <w:bookmarkEnd w:id="237"/>
      <w:bookmarkEnd w:id="238"/>
      <w:bookmarkEnd w:id="239"/>
      <w:bookmarkEnd w:id="240"/>
      <w:bookmarkEnd w:id="241"/>
      <w:bookmarkEnd w:id="242"/>
      <w:bookmarkEnd w:id="243"/>
      <w:bookmarkEnd w:id="244"/>
      <w:bookmarkEnd w:id="245"/>
    </w:p>
    <w:p w14:paraId="579FB970">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6.1.1</w:t>
      </w:r>
      <w:r>
        <w:rPr>
          <w:rFonts w:ascii="Times New Roman" w:hAnsi="Times New Roman"/>
          <w:color w:val="000000" w:themeColor="text1"/>
          <w14:textFill>
            <w14:solidFill>
              <w14:schemeClr w14:val="tx1"/>
            </w14:solidFill>
          </w14:textFill>
        </w:rPr>
        <w:t xml:space="preserve">  承包人应当确保合同约定的人力、技术、物资等资源按时足额投入，满足合同履行的需要。</w:t>
      </w:r>
    </w:p>
    <w:p w14:paraId="2599DFD8">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6.1.2</w:t>
      </w:r>
      <w:r>
        <w:rPr>
          <w:rFonts w:ascii="Times New Roman" w:hAnsi="Times New Roman"/>
          <w:color w:val="000000" w:themeColor="text1"/>
          <w14:textFill>
            <w14:solidFill>
              <w14:schemeClr w14:val="tx1"/>
            </w14:solidFill>
          </w14:textFill>
        </w:rPr>
        <w:t xml:space="preserve">  发包人应按合同约定及履约清单对承包人的资源投入进行核查管理，确保资源投入与投标承诺一致。</w:t>
      </w:r>
    </w:p>
    <w:p w14:paraId="1B2D395D">
      <w:pPr>
        <w:pStyle w:val="3"/>
        <w:rPr>
          <w:color w:val="000000" w:themeColor="text1"/>
          <w14:textFill>
            <w14:solidFill>
              <w14:schemeClr w14:val="tx1"/>
            </w14:solidFill>
          </w14:textFill>
        </w:rPr>
      </w:pPr>
      <w:bookmarkStart w:id="246" w:name="_Toc755441509"/>
      <w:bookmarkStart w:id="247" w:name="_Toc462252299"/>
      <w:bookmarkStart w:id="248" w:name="_Toc414263417"/>
      <w:bookmarkStart w:id="249" w:name="_Toc231665525"/>
      <w:bookmarkStart w:id="250" w:name="_Toc580777084"/>
      <w:bookmarkStart w:id="251" w:name="_Toc1545043512"/>
      <w:bookmarkStart w:id="252" w:name="_Toc645091096"/>
      <w:bookmarkStart w:id="253" w:name="_Toc2092040987"/>
      <w:bookmarkStart w:id="254" w:name="_Toc1694465964"/>
      <w:r>
        <w:rPr>
          <w:color w:val="000000" w:themeColor="text1"/>
          <w:szCs w:val="32"/>
          <w14:textFill>
            <w14:solidFill>
              <w14:schemeClr w14:val="tx1"/>
            </w14:solidFill>
          </w14:textFill>
        </w:rPr>
        <w:t xml:space="preserve">6.2  </w:t>
      </w:r>
      <w:r>
        <w:rPr>
          <w:color w:val="000000" w:themeColor="text1"/>
          <w14:textFill>
            <w14:solidFill>
              <w14:schemeClr w14:val="tx1"/>
            </w14:solidFill>
          </w14:textFill>
        </w:rPr>
        <w:t>人力资源管理</w:t>
      </w:r>
      <w:bookmarkEnd w:id="246"/>
      <w:bookmarkEnd w:id="247"/>
      <w:bookmarkEnd w:id="248"/>
      <w:bookmarkEnd w:id="249"/>
      <w:bookmarkEnd w:id="250"/>
      <w:bookmarkEnd w:id="251"/>
      <w:bookmarkEnd w:id="252"/>
      <w:bookmarkEnd w:id="253"/>
      <w:bookmarkEnd w:id="254"/>
    </w:p>
    <w:p w14:paraId="30FE5ABC">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6.2.1</w:t>
      </w:r>
      <w:r>
        <w:rPr>
          <w:rFonts w:ascii="Times New Roman" w:hAnsi="Times New Roman"/>
          <w:color w:val="000000" w:themeColor="text1"/>
          <w14:textFill>
            <w14:solidFill>
              <w14:schemeClr w14:val="tx1"/>
            </w14:solidFill>
          </w14:textFill>
        </w:rPr>
        <w:t xml:space="preserve">  承包人应当按照履约清单约定配置主要人员，确保人证合一、到岗履职。</w:t>
      </w:r>
    </w:p>
    <w:p w14:paraId="28EBAFBF">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6.2.2</w:t>
      </w:r>
      <w:r>
        <w:rPr>
          <w:rFonts w:ascii="Times New Roman" w:hAnsi="Times New Roman"/>
          <w:color w:val="000000" w:themeColor="text1"/>
          <w14:textFill>
            <w14:solidFill>
              <w14:schemeClr w14:val="tx1"/>
            </w14:solidFill>
          </w14:textFill>
        </w:rPr>
        <w:t xml:space="preserve">  发包人应对主要人员的到岗、考勤、更换进行管理，建立主要人员履职台账。</w:t>
      </w:r>
    </w:p>
    <w:p w14:paraId="74C1F6DE">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6.2.3</w:t>
      </w:r>
      <w:r>
        <w:rPr>
          <w:rFonts w:hint="eastAsia" w:ascii="Times New Roman" w:hAnsi="Times New Roman"/>
          <w:color w:val="000000" w:themeColor="text1"/>
          <w14:textFill>
            <w14:solidFill>
              <w14:schemeClr w14:val="tx1"/>
            </w14:solidFill>
          </w14:textFill>
        </w:rPr>
        <w:t xml:space="preserve">  施工项目承包人配置的主要人员包括项目负责人、项目技术负责人、专职安全生产管理人员以及其他按规定需配备的人员等。</w:t>
      </w:r>
    </w:p>
    <w:p w14:paraId="5028A399">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6.2.4</w:t>
      </w:r>
      <w:r>
        <w:rPr>
          <w:rFonts w:hint="eastAsia" w:ascii="Times New Roman" w:hAnsi="Times New Roman"/>
          <w:color w:val="000000" w:themeColor="text1"/>
          <w14:textFill>
            <w14:solidFill>
              <w14:schemeClr w14:val="tx1"/>
            </w14:solidFill>
          </w14:textFill>
        </w:rPr>
        <w:t xml:space="preserve">  工程总承包项目承包人配置的主要人员包括工程总承包项目经理（或称项目负责人）、设计负责人、施工负责人以及其他按规定需配备的人员等。</w:t>
      </w:r>
    </w:p>
    <w:p w14:paraId="421915A6">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6.2.5</w:t>
      </w:r>
      <w:r>
        <w:rPr>
          <w:rFonts w:hint="eastAsia" w:ascii="Times New Roman" w:hAnsi="Times New Roman"/>
          <w:color w:val="000000" w:themeColor="text1"/>
          <w14:textFill>
            <w14:solidFill>
              <w14:schemeClr w14:val="tx1"/>
            </w14:solidFill>
          </w14:textFill>
        </w:rPr>
        <w:t xml:space="preserve">  勘察项目承包人配置的主要人员包括项目负责人、勘探外业作业人员、测量人员等。</w:t>
      </w:r>
    </w:p>
    <w:p w14:paraId="57605ED0">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6.2.6</w:t>
      </w:r>
      <w:r>
        <w:rPr>
          <w:rFonts w:hint="eastAsia" w:ascii="Times New Roman" w:hAnsi="Times New Roman"/>
          <w:color w:val="000000" w:themeColor="text1"/>
          <w14:textFill>
            <w14:solidFill>
              <w14:schemeClr w14:val="tx1"/>
            </w14:solidFill>
          </w14:textFill>
        </w:rPr>
        <w:t xml:space="preserve">  设计项目承包人配置的主要人员包括项目负责人、各专业设计负责人、设计人、审核人等。</w:t>
      </w:r>
    </w:p>
    <w:p w14:paraId="272245C7">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6.2.7</w:t>
      </w:r>
      <w:r>
        <w:rPr>
          <w:rFonts w:hint="eastAsia" w:ascii="Times New Roman" w:hAnsi="Times New Roman"/>
          <w:color w:val="000000" w:themeColor="text1"/>
          <w14:textFill>
            <w14:solidFill>
              <w14:schemeClr w14:val="tx1"/>
            </w14:solidFill>
          </w14:textFill>
        </w:rPr>
        <w:t xml:space="preserve">  监理项目承包人配置的主要人员包括总监理工程师、专业监理工程师、监理员、见证人等。</w:t>
      </w:r>
    </w:p>
    <w:p w14:paraId="68DBB291">
      <w:pPr>
        <w:pStyle w:val="3"/>
        <w:rPr>
          <w:color w:val="000000" w:themeColor="text1"/>
          <w14:textFill>
            <w14:solidFill>
              <w14:schemeClr w14:val="tx1"/>
            </w14:solidFill>
          </w14:textFill>
        </w:rPr>
      </w:pPr>
      <w:bookmarkStart w:id="255" w:name="_Toc231665526"/>
      <w:bookmarkStart w:id="256" w:name="_Toc208514841"/>
      <w:bookmarkStart w:id="257" w:name="_Toc397204891"/>
      <w:bookmarkStart w:id="258" w:name="_Toc1931641466"/>
      <w:bookmarkStart w:id="259" w:name="_Toc641911635"/>
      <w:bookmarkStart w:id="260" w:name="_Toc1783121955"/>
      <w:bookmarkStart w:id="261" w:name="_Toc1562459771"/>
      <w:bookmarkStart w:id="262" w:name="_Toc1401868912"/>
      <w:bookmarkStart w:id="263" w:name="_Toc306229259"/>
      <w:r>
        <w:rPr>
          <w:color w:val="000000" w:themeColor="text1"/>
          <w:szCs w:val="32"/>
          <w14:textFill>
            <w14:solidFill>
              <w14:schemeClr w14:val="tx1"/>
            </w14:solidFill>
          </w14:textFill>
        </w:rPr>
        <w:t xml:space="preserve">6.3  </w:t>
      </w:r>
      <w:r>
        <w:rPr>
          <w:color w:val="000000" w:themeColor="text1"/>
          <w14:textFill>
            <w14:solidFill>
              <w14:schemeClr w14:val="tx1"/>
            </w14:solidFill>
          </w14:textFill>
        </w:rPr>
        <w:t>技术资源管理</w:t>
      </w:r>
      <w:bookmarkEnd w:id="255"/>
      <w:bookmarkEnd w:id="256"/>
      <w:bookmarkEnd w:id="257"/>
      <w:bookmarkEnd w:id="258"/>
      <w:bookmarkEnd w:id="259"/>
      <w:bookmarkEnd w:id="260"/>
      <w:bookmarkEnd w:id="261"/>
      <w:bookmarkEnd w:id="262"/>
      <w:bookmarkEnd w:id="263"/>
    </w:p>
    <w:p w14:paraId="4F5E4542">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6.3.1</w:t>
      </w:r>
      <w:r>
        <w:rPr>
          <w:rFonts w:ascii="Times New Roman" w:hAnsi="Times New Roman"/>
          <w:color w:val="000000" w:themeColor="text1"/>
          <w14:textFill>
            <w14:solidFill>
              <w14:schemeClr w14:val="tx1"/>
            </w14:solidFill>
          </w14:textFill>
        </w:rPr>
        <w:t xml:space="preserve">  承包人应当按照履约清单约定投入技术资源，确保符合知识产权的相关规定。</w:t>
      </w:r>
    </w:p>
    <w:p w14:paraId="6E93D3FC">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6.3.2</w:t>
      </w:r>
      <w:r>
        <w:rPr>
          <w:rFonts w:ascii="Times New Roman" w:hAnsi="Times New Roman"/>
          <w:color w:val="000000" w:themeColor="text1"/>
          <w14:textFill>
            <w14:solidFill>
              <w14:schemeClr w14:val="tx1"/>
            </w14:solidFill>
          </w14:textFill>
        </w:rPr>
        <w:t xml:space="preserve">  发包人应对承包人技术资源投入情况进行核查，建立技术资源投入台账。</w:t>
      </w:r>
    </w:p>
    <w:p w14:paraId="383850AD">
      <w:pPr>
        <w:pStyle w:val="3"/>
        <w:rPr>
          <w:color w:val="000000" w:themeColor="text1"/>
          <w14:textFill>
            <w14:solidFill>
              <w14:schemeClr w14:val="tx1"/>
            </w14:solidFill>
          </w14:textFill>
        </w:rPr>
      </w:pPr>
      <w:bookmarkStart w:id="264" w:name="_Toc231665527"/>
      <w:bookmarkStart w:id="265" w:name="_Toc112993983"/>
      <w:bookmarkStart w:id="266" w:name="_Toc1828091621"/>
      <w:bookmarkStart w:id="267" w:name="_Toc1797362431"/>
      <w:bookmarkStart w:id="268" w:name="_Toc953474507"/>
      <w:bookmarkStart w:id="269" w:name="_Toc1995210329"/>
      <w:bookmarkStart w:id="270" w:name="_Toc983183087"/>
      <w:bookmarkStart w:id="271" w:name="_Toc1431127822"/>
      <w:bookmarkStart w:id="272" w:name="_Toc54398347"/>
      <w:r>
        <w:rPr>
          <w:color w:val="000000" w:themeColor="text1"/>
          <w:szCs w:val="32"/>
          <w14:textFill>
            <w14:solidFill>
              <w14:schemeClr w14:val="tx1"/>
            </w14:solidFill>
          </w14:textFill>
        </w:rPr>
        <w:t xml:space="preserve">6.4  </w:t>
      </w:r>
      <w:r>
        <w:rPr>
          <w:color w:val="000000" w:themeColor="text1"/>
          <w14:textFill>
            <w14:solidFill>
              <w14:schemeClr w14:val="tx1"/>
            </w14:solidFill>
          </w14:textFill>
        </w:rPr>
        <w:t>物资管理</w:t>
      </w:r>
      <w:bookmarkEnd w:id="264"/>
      <w:bookmarkEnd w:id="265"/>
      <w:bookmarkEnd w:id="266"/>
      <w:bookmarkEnd w:id="267"/>
      <w:bookmarkEnd w:id="268"/>
      <w:bookmarkEnd w:id="269"/>
      <w:bookmarkEnd w:id="270"/>
      <w:bookmarkEnd w:id="271"/>
      <w:bookmarkEnd w:id="272"/>
    </w:p>
    <w:p w14:paraId="637BC680">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6.4.1</w:t>
      </w:r>
      <w:r>
        <w:rPr>
          <w:rFonts w:ascii="Times New Roman" w:hAnsi="Times New Roman"/>
          <w:color w:val="000000" w:themeColor="text1"/>
          <w14:textFill>
            <w14:solidFill>
              <w14:schemeClr w14:val="tx1"/>
            </w14:solidFill>
          </w14:textFill>
        </w:rPr>
        <w:t xml:space="preserve">  承包人应当按履约清单约定投入物资，确保物资满足项目需要。</w:t>
      </w:r>
    </w:p>
    <w:p w14:paraId="1E7B0B8C">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6.4.2</w:t>
      </w:r>
      <w:r>
        <w:rPr>
          <w:rFonts w:ascii="Times New Roman" w:hAnsi="Times New Roman"/>
          <w:color w:val="000000" w:themeColor="text1"/>
          <w14:textFill>
            <w14:solidFill>
              <w14:schemeClr w14:val="tx1"/>
            </w14:solidFill>
          </w14:textFill>
        </w:rPr>
        <w:t xml:space="preserve">  发包人应对承包人物资使用情况进行核查，建立物资使用台账。</w:t>
      </w:r>
    </w:p>
    <w:p w14:paraId="7176B4AD">
      <w:pPr>
        <w:rPr>
          <w:rFonts w:ascii="Times New Roman" w:hAnsi="Times New Roman"/>
          <w:color w:val="000000" w:themeColor="text1"/>
          <w14:textFill>
            <w14:solidFill>
              <w14:schemeClr w14:val="tx1"/>
            </w14:solidFill>
          </w14:textFill>
        </w:rPr>
      </w:pPr>
      <w:r>
        <w:rPr>
          <w:rFonts w:hint="eastAsia" w:ascii="Times New Roman" w:hAnsi="Times New Roman"/>
          <w:b/>
          <w:color w:val="000000" w:themeColor="text1"/>
          <w14:textFill>
            <w14:solidFill>
              <w14:schemeClr w14:val="tx1"/>
            </w14:solidFill>
          </w14:textFill>
        </w:rPr>
        <w:t>6.4.3</w:t>
      </w:r>
      <w:r>
        <w:rPr>
          <w:rFonts w:hint="eastAsia" w:ascii="Times New Roman" w:hAnsi="Times New Roman"/>
          <w:color w:val="000000" w:themeColor="text1"/>
          <w14:textFill>
            <w14:solidFill>
              <w14:schemeClr w14:val="tx1"/>
            </w14:solidFill>
          </w14:textFill>
        </w:rPr>
        <w:t xml:space="preserve">  施工项目发包人提供材料和设备的，应保证其符合设计文件和合同要求，并按照合同约定的时间和地点交付承包人。对涉及装配式建筑的项目，发包人应按有关规定和合同约定对预制构件的生产、运输、安装等实施监督。</w:t>
      </w:r>
    </w:p>
    <w:p w14:paraId="71FE413D">
      <w:pPr>
        <w:rPr>
          <w:rFonts w:ascii="Times New Roman" w:hAnsi="Times New Roman"/>
          <w:color w:val="000000" w:themeColor="text1"/>
          <w14:textFill>
            <w14:solidFill>
              <w14:schemeClr w14:val="tx1"/>
            </w14:solidFill>
          </w14:textFill>
        </w:rPr>
      </w:pPr>
      <w:r>
        <w:rPr>
          <w:rFonts w:hint="eastAsia" w:ascii="Times New Roman" w:hAnsi="Times New Roman"/>
          <w:b/>
          <w:color w:val="000000" w:themeColor="text1"/>
          <w14:textFill>
            <w14:solidFill>
              <w14:schemeClr w14:val="tx1"/>
            </w14:solidFill>
          </w14:textFill>
        </w:rPr>
        <w:t>6.4.4</w:t>
      </w:r>
      <w:r>
        <w:rPr>
          <w:rFonts w:hint="eastAsia" w:ascii="Times New Roman" w:hAnsi="Times New Roman"/>
          <w:color w:val="000000" w:themeColor="text1"/>
          <w14:textFill>
            <w14:solidFill>
              <w14:schemeClr w14:val="tx1"/>
            </w14:solidFill>
          </w14:textFill>
        </w:rPr>
        <w:t xml:space="preserve">  工程总承包项目发包人应审查承包人采购方案中关键材料和设备的技术参数、品牌及供应商选择是否符合《发包人要求》，对重要设备可要求承包人提供制造进度报告或委托驻厂监造。</w:t>
      </w:r>
    </w:p>
    <w:p w14:paraId="4219ACAF">
      <w:pPr>
        <w:rPr>
          <w:rFonts w:ascii="Times New Roman" w:hAnsi="Times New Roman"/>
          <w:color w:val="000000" w:themeColor="text1"/>
          <w14:textFill>
            <w14:solidFill>
              <w14:schemeClr w14:val="tx1"/>
            </w14:solidFill>
          </w14:textFill>
        </w:rPr>
      </w:pPr>
      <w:r>
        <w:rPr>
          <w:rFonts w:hint="eastAsia" w:ascii="Times New Roman" w:hAnsi="Times New Roman"/>
          <w:b/>
          <w:color w:val="000000" w:themeColor="text1"/>
          <w14:textFill>
            <w14:solidFill>
              <w14:schemeClr w14:val="tx1"/>
            </w14:solidFill>
          </w14:textFill>
        </w:rPr>
        <w:t>6.4.5</w:t>
      </w:r>
      <w:r>
        <w:rPr>
          <w:rFonts w:hint="eastAsia" w:ascii="Times New Roman" w:hAnsi="Times New Roman"/>
          <w:color w:val="000000" w:themeColor="text1"/>
          <w14:textFill>
            <w14:solidFill>
              <w14:schemeClr w14:val="tx1"/>
            </w14:solidFill>
          </w14:textFill>
        </w:rPr>
        <w:t xml:space="preserve">  勘察项目发包人应督促承包人对勘察作业中使用的测试、试验、测量设备和工具，并确保其在校准或检定有效期内。</w:t>
      </w:r>
    </w:p>
    <w:p w14:paraId="6E028239">
      <w:pPr>
        <w:rPr>
          <w:rFonts w:ascii="Times New Roman" w:hAnsi="Times New Roman"/>
          <w:color w:val="000000" w:themeColor="text1"/>
          <w14:textFill>
            <w14:solidFill>
              <w14:schemeClr w14:val="tx1"/>
            </w14:solidFill>
          </w14:textFill>
        </w:rPr>
      </w:pPr>
      <w:r>
        <w:rPr>
          <w:rFonts w:hint="eastAsia" w:ascii="Times New Roman" w:hAnsi="Times New Roman"/>
          <w:b/>
          <w:color w:val="000000" w:themeColor="text1"/>
          <w14:textFill>
            <w14:solidFill>
              <w14:schemeClr w14:val="tx1"/>
            </w14:solidFill>
          </w14:textFill>
        </w:rPr>
        <w:t>6.4.6</w:t>
      </w:r>
      <w:r>
        <w:rPr>
          <w:rFonts w:hint="eastAsia" w:ascii="Times New Roman" w:hAnsi="Times New Roman"/>
          <w:color w:val="000000" w:themeColor="text1"/>
          <w14:textFill>
            <w14:solidFill>
              <w14:schemeClr w14:val="tx1"/>
            </w14:solidFill>
          </w14:textFill>
        </w:rPr>
        <w:t xml:space="preserve">  设计项目发包人应督促承包人使用正版、合规、无知识产权纠纷的设计软件，确保设计成果可编辑、可修改、无加密锁定，满足项目归档与后期使用要求。</w:t>
      </w:r>
    </w:p>
    <w:p w14:paraId="714ABDF0">
      <w:pPr>
        <w:rPr>
          <w:rFonts w:ascii="Times New Roman" w:hAnsi="Times New Roman"/>
          <w:color w:val="000000" w:themeColor="text1"/>
          <w14:textFill>
            <w14:solidFill>
              <w14:schemeClr w14:val="tx1"/>
            </w14:solidFill>
          </w14:textFill>
        </w:rPr>
      </w:pPr>
      <w:r>
        <w:rPr>
          <w:rFonts w:hint="eastAsia" w:ascii="Times New Roman" w:hAnsi="Times New Roman"/>
          <w:b/>
          <w:color w:val="000000" w:themeColor="text1"/>
          <w14:textFill>
            <w14:solidFill>
              <w14:schemeClr w14:val="tx1"/>
            </w14:solidFill>
          </w14:textFill>
        </w:rPr>
        <w:t>6.4.7</w:t>
      </w:r>
      <w:r>
        <w:rPr>
          <w:rFonts w:hint="eastAsia" w:ascii="Times New Roman" w:hAnsi="Times New Roman"/>
          <w:color w:val="000000" w:themeColor="text1"/>
          <w14:textFill>
            <w14:solidFill>
              <w14:schemeClr w14:val="tx1"/>
            </w14:solidFill>
          </w14:textFill>
        </w:rPr>
        <w:t xml:space="preserve">  监理项目发包人应督促承包人配备满足监理工作需要的常规检测设备和工具，并确保其在校准或检定有效期内。</w:t>
      </w:r>
    </w:p>
    <w:p w14:paraId="5B659C7E">
      <w:pPr>
        <w:pStyle w:val="3"/>
        <w:rPr>
          <w:color w:val="000000" w:themeColor="text1"/>
          <w14:textFill>
            <w14:solidFill>
              <w14:schemeClr w14:val="tx1"/>
            </w14:solidFill>
          </w14:textFill>
        </w:rPr>
      </w:pPr>
      <w:bookmarkStart w:id="273" w:name="_Toc232077259"/>
      <w:bookmarkStart w:id="274" w:name="_Toc30903967"/>
      <w:bookmarkStart w:id="275" w:name="_Toc270743467"/>
      <w:bookmarkStart w:id="276" w:name="_Toc1961636389"/>
      <w:bookmarkStart w:id="277" w:name="_Toc231665528"/>
      <w:bookmarkStart w:id="278" w:name="_Toc189147216"/>
      <w:bookmarkStart w:id="279" w:name="_Toc1029170821"/>
      <w:bookmarkStart w:id="280" w:name="_Toc2082533015"/>
      <w:bookmarkStart w:id="281" w:name="_Toc1799379224"/>
      <w:r>
        <w:rPr>
          <w:color w:val="000000" w:themeColor="text1"/>
          <w:szCs w:val="32"/>
          <w14:textFill>
            <w14:solidFill>
              <w14:schemeClr w14:val="tx1"/>
            </w14:solidFill>
          </w14:textFill>
        </w:rPr>
        <w:t xml:space="preserve">6.5  </w:t>
      </w:r>
      <w:r>
        <w:rPr>
          <w:color w:val="000000" w:themeColor="text1"/>
          <w14:textFill>
            <w14:solidFill>
              <w14:schemeClr w14:val="tx1"/>
            </w14:solidFill>
          </w14:textFill>
        </w:rPr>
        <w:t>资源投入</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检查与整改</w:t>
      </w:r>
      <w:bookmarkEnd w:id="273"/>
      <w:bookmarkEnd w:id="274"/>
      <w:bookmarkEnd w:id="275"/>
      <w:bookmarkEnd w:id="276"/>
      <w:bookmarkEnd w:id="277"/>
      <w:bookmarkEnd w:id="278"/>
      <w:bookmarkEnd w:id="279"/>
      <w:r>
        <w:rPr>
          <w:rFonts w:hint="eastAsia"/>
          <w:color w:val="000000" w:themeColor="text1"/>
          <w14:textFill>
            <w14:solidFill>
              <w14:schemeClr w14:val="tx1"/>
            </w14:solidFill>
          </w14:textFill>
        </w:rPr>
        <w:t>管理</w:t>
      </w:r>
      <w:bookmarkEnd w:id="280"/>
      <w:bookmarkEnd w:id="281"/>
    </w:p>
    <w:p w14:paraId="643174CC">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6.5.1</w:t>
      </w:r>
      <w:r>
        <w:rPr>
          <w:rFonts w:ascii="Times New Roman" w:hAnsi="Times New Roman"/>
          <w:color w:val="000000" w:themeColor="text1"/>
          <w14:textFill>
            <w14:solidFill>
              <w14:schemeClr w14:val="tx1"/>
            </w14:solidFill>
          </w14:textFill>
        </w:rPr>
        <w:t xml:space="preserve">  发包人应依据履约清单，对承包人的资源投入情况进行检查核实。</w:t>
      </w:r>
    </w:p>
    <w:p w14:paraId="585AACF2">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6.5.2</w:t>
      </w:r>
      <w:r>
        <w:rPr>
          <w:rFonts w:ascii="Times New Roman" w:hAnsi="Times New Roman"/>
          <w:color w:val="000000" w:themeColor="text1"/>
          <w14:textFill>
            <w14:solidFill>
              <w14:schemeClr w14:val="tx1"/>
            </w14:solidFill>
          </w14:textFill>
        </w:rPr>
        <w:t xml:space="preserve">  发现资源投入不足、配置不合理或与承诺不一致的，发包人应书面通知承包人限期整改。</w:t>
      </w:r>
    </w:p>
    <w:p w14:paraId="29A99CE7">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 xml:space="preserve">6.5.3 </w:t>
      </w:r>
      <w:r>
        <w:rPr>
          <w:rFonts w:ascii="Times New Roman" w:hAnsi="Times New Roman"/>
          <w:color w:val="000000" w:themeColor="text1"/>
          <w14:textFill>
            <w14:solidFill>
              <w14:schemeClr w14:val="tx1"/>
            </w14:solidFill>
          </w14:textFill>
        </w:rPr>
        <w:t xml:space="preserve"> 承包人应在限定期限内完成整改并书面报告整改结果，发包人应对整改情况进行跟踪复核，形成问题处理闭环。</w:t>
      </w:r>
    </w:p>
    <w:p w14:paraId="6AF50D5A">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6.5.4</w:t>
      </w:r>
      <w:r>
        <w:rPr>
          <w:rFonts w:ascii="Times New Roman" w:hAnsi="Times New Roman"/>
          <w:color w:val="000000" w:themeColor="text1"/>
          <w14:textFill>
            <w14:solidFill>
              <w14:schemeClr w14:val="tx1"/>
            </w14:solidFill>
          </w14:textFill>
        </w:rPr>
        <w:t xml:space="preserve">  资源投入的核查记录、整改通知及整改结果应纳入履约过程记录，作为履约验收的组成部分。</w:t>
      </w:r>
    </w:p>
    <w:p w14:paraId="560E21D1">
      <w:pPr>
        <w:pStyle w:val="3"/>
        <w:rPr>
          <w:color w:val="000000" w:themeColor="text1"/>
          <w14:textFill>
            <w14:solidFill>
              <w14:schemeClr w14:val="tx1"/>
            </w14:solidFill>
          </w14:textFill>
        </w:rPr>
      </w:pPr>
      <w:bookmarkStart w:id="282" w:name="_Toc1540364911"/>
      <w:bookmarkStart w:id="283" w:name="_Toc214563154"/>
      <w:r>
        <w:rPr>
          <w:rFonts w:hint="eastAsia"/>
          <w:color w:val="000000" w:themeColor="text1"/>
          <w14:textFill>
            <w14:solidFill>
              <w14:schemeClr w14:val="tx1"/>
            </w14:solidFill>
          </w14:textFill>
        </w:rPr>
        <w:t>6.6  施工项目劳务管理</w:t>
      </w:r>
      <w:bookmarkEnd w:id="282"/>
      <w:bookmarkEnd w:id="283"/>
    </w:p>
    <w:p w14:paraId="77342CF5">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6.6.1</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发包人应督促承包人建立健全劳务用工管理制度，对承包人的劳务用工管理情况实施监督检查。</w:t>
      </w:r>
    </w:p>
    <w:p w14:paraId="27ADB1A2">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6.6.2</w:t>
      </w:r>
      <w:r>
        <w:rPr>
          <w:rFonts w:hint="eastAsia" w:ascii="Times New Roman" w:hAnsi="Times New Roman"/>
          <w:b/>
          <w:bCs/>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发包人应重点检查以下劳务管理事项：</w:t>
      </w:r>
    </w:p>
    <w:p w14:paraId="4D846CCA">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承包人是否与招用的农民工/劳务分包人订立劳动合同并进行用工实名登记；</w:t>
      </w:r>
    </w:p>
    <w:p w14:paraId="6C4E7286">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承包人是否配备劳资专管员并建立用工管理台账；</w:t>
      </w:r>
    </w:p>
    <w:p w14:paraId="188C6329">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承包人是否按规定开设农民工工资专用账户；</w:t>
      </w:r>
    </w:p>
    <w:p w14:paraId="5CC4E5B3">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4</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农民工工资是否按时足额支付。</w:t>
      </w:r>
    </w:p>
    <w:p w14:paraId="08ACDAA6">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6.6.3</w:t>
      </w:r>
      <w:r>
        <w:rPr>
          <w:rFonts w:hint="eastAsia" w:ascii="Times New Roman" w:hAnsi="Times New Roman"/>
          <w:b/>
          <w:bCs/>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发包人应按照合同约定及时拨付工程款，并将人工费用及时足额拨付至农民工工资专用账户。</w:t>
      </w:r>
    </w:p>
    <w:p w14:paraId="6A4CC4E1">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6.6.4</w:t>
      </w:r>
      <w:r>
        <w:rPr>
          <w:rFonts w:hint="eastAsia" w:ascii="Times New Roman" w:hAnsi="Times New Roman"/>
          <w:b/>
          <w:bCs/>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发包人发现承包人存在拖欠农民工工资情形的，应责令承包人限期整改，情节严重的应报告主管部门。</w:t>
      </w:r>
    </w:p>
    <w:p w14:paraId="1E29DCE2">
      <w:pPr>
        <w:pStyle w:val="3"/>
        <w:rPr>
          <w:color w:val="000000" w:themeColor="text1"/>
          <w14:textFill>
            <w14:solidFill>
              <w14:schemeClr w14:val="tx1"/>
            </w14:solidFill>
          </w14:textFill>
        </w:rPr>
      </w:pPr>
      <w:bookmarkStart w:id="284" w:name="_Toc852137260"/>
      <w:bookmarkStart w:id="285" w:name="_Toc1753876463"/>
      <w:r>
        <w:rPr>
          <w:color w:val="000000" w:themeColor="text1"/>
          <w14:textFill>
            <w14:solidFill>
              <w14:schemeClr w14:val="tx1"/>
            </w14:solidFill>
          </w14:textFill>
        </w:rPr>
        <w:t>6.7</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施工项目分包管理</w:t>
      </w:r>
      <w:bookmarkEnd w:id="284"/>
      <w:bookmarkEnd w:id="285"/>
    </w:p>
    <w:p w14:paraId="470B8838">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6.7.1</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发包人应依据合同约定，对承包人的分包事项进行审核。发包人不得指定分包单位，不得以签订三方协议等方式变相指定分包。</w:t>
      </w:r>
    </w:p>
    <w:p w14:paraId="20759613">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6.7.2</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发包人应对承包人的分包情况实施监督：</w:t>
      </w:r>
    </w:p>
    <w:p w14:paraId="5A0B268D">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审核分包人的资质、安全生产许可证等法定资格条件；除总承包合同中约定的分包外，专业工程分包应经发包人书面认可；</w:t>
      </w:r>
    </w:p>
    <w:p w14:paraId="78D2CC48">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可要求承包人将依法与分包人签订的书面分包合同报送发包人，并对合同内容的合法性、规范性进行核查；</w:t>
      </w:r>
    </w:p>
    <w:p w14:paraId="49F3D6EC">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检查是否存在以劳务分包名义实施专业工程分包等违法分包情形；</w:t>
      </w:r>
    </w:p>
    <w:p w14:paraId="2A8903D0">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4</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监督承包人对分包人履行管理责任。</w:t>
      </w:r>
    </w:p>
    <w:p w14:paraId="65640180">
      <w:pPr>
        <w:rPr>
          <w:rFonts w:ascii="Times New Roman" w:hAnsi="Times New Roman"/>
          <w:strike/>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6.7.3</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发包人发现承包人存在违法分包、转包行为的，应书面要求承包人停止违法行为，依据合同约定追究违约责任，情节严重的可解除合同；同时应及时将违法分包、转包行为报告主管部门，由主管部门依法处理。</w:t>
      </w:r>
    </w:p>
    <w:p w14:paraId="489A7B85">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bookmarkStart w:id="286" w:name="_Toc231665529"/>
      <w:bookmarkStart w:id="287" w:name="_Toc1579050412"/>
      <w:bookmarkStart w:id="288" w:name="_Toc1986451155"/>
      <w:bookmarkStart w:id="289" w:name="_Toc1432657288"/>
      <w:bookmarkStart w:id="290" w:name="_Toc1812054532"/>
      <w:bookmarkStart w:id="291" w:name="_Toc1570671241"/>
      <w:bookmarkStart w:id="292" w:name="_Toc1117914212"/>
      <w:bookmarkStart w:id="293" w:name="_Toc2100000961"/>
      <w:bookmarkStart w:id="294" w:name="_Toc1951524357"/>
      <w:r>
        <w:rPr>
          <w:color w:val="000000" w:themeColor="text1"/>
          <w:szCs w:val="32"/>
          <w14:textFill>
            <w14:solidFill>
              <w14:schemeClr w14:val="tx1"/>
            </w14:solidFill>
          </w14:textFill>
        </w:rPr>
        <w:t>7</w:t>
      </w:r>
      <w:r>
        <w:rPr>
          <w:color w:val="000000" w:themeColor="text1"/>
          <w14:textFill>
            <w14:solidFill>
              <w14:schemeClr w14:val="tx1"/>
            </w14:solidFill>
          </w14:textFill>
        </w:rPr>
        <w:t xml:space="preserve">  进度管理</w:t>
      </w:r>
      <w:bookmarkEnd w:id="286"/>
      <w:bookmarkEnd w:id="287"/>
      <w:bookmarkEnd w:id="288"/>
      <w:bookmarkEnd w:id="289"/>
      <w:bookmarkEnd w:id="290"/>
      <w:bookmarkEnd w:id="291"/>
      <w:bookmarkEnd w:id="292"/>
      <w:bookmarkEnd w:id="293"/>
      <w:bookmarkEnd w:id="294"/>
    </w:p>
    <w:p w14:paraId="698165FF">
      <w:pPr>
        <w:pStyle w:val="3"/>
        <w:rPr>
          <w:color w:val="000000" w:themeColor="text1"/>
          <w14:textFill>
            <w14:solidFill>
              <w14:schemeClr w14:val="tx1"/>
            </w14:solidFill>
          </w14:textFill>
        </w:rPr>
      </w:pPr>
      <w:bookmarkStart w:id="295" w:name="_Toc728600774"/>
      <w:bookmarkStart w:id="296" w:name="_Toc231665530"/>
      <w:bookmarkStart w:id="297" w:name="_Toc197617061"/>
      <w:bookmarkStart w:id="298" w:name="_Toc1969032155"/>
      <w:bookmarkStart w:id="299" w:name="_Toc1479499273"/>
      <w:bookmarkStart w:id="300" w:name="_Toc725487917"/>
      <w:bookmarkStart w:id="301" w:name="_Toc1111490837"/>
      <w:bookmarkStart w:id="302" w:name="_Toc1094200814"/>
      <w:bookmarkStart w:id="303" w:name="_Toc61845850"/>
      <w:r>
        <w:rPr>
          <w:color w:val="000000" w:themeColor="text1"/>
          <w:szCs w:val="32"/>
          <w14:textFill>
            <w14:solidFill>
              <w14:schemeClr w14:val="tx1"/>
            </w14:solidFill>
          </w14:textFill>
        </w:rPr>
        <w:t xml:space="preserve">7.1  </w:t>
      </w:r>
      <w:r>
        <w:rPr>
          <w:color w:val="000000" w:themeColor="text1"/>
          <w14:textFill>
            <w14:solidFill>
              <w14:schemeClr w14:val="tx1"/>
            </w14:solidFill>
          </w14:textFill>
        </w:rPr>
        <w:t>一般规定</w:t>
      </w:r>
      <w:bookmarkEnd w:id="295"/>
      <w:bookmarkEnd w:id="296"/>
      <w:bookmarkEnd w:id="297"/>
      <w:bookmarkEnd w:id="298"/>
      <w:bookmarkEnd w:id="299"/>
      <w:bookmarkEnd w:id="300"/>
      <w:bookmarkEnd w:id="301"/>
      <w:bookmarkEnd w:id="302"/>
      <w:bookmarkEnd w:id="303"/>
    </w:p>
    <w:p w14:paraId="2432C8D2">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7.1.1</w:t>
      </w:r>
      <w:r>
        <w:rPr>
          <w:rFonts w:ascii="Times New Roman" w:hAnsi="Times New Roman"/>
          <w:color w:val="000000" w:themeColor="text1"/>
          <w14:textFill>
            <w14:solidFill>
              <w14:schemeClr w14:val="tx1"/>
            </w14:solidFill>
          </w14:textFill>
        </w:rPr>
        <w:t xml:space="preserve">  进度管理应确保合同约定的履约期限目标有序推进，实现里程碑节点按期完成</w:t>
      </w:r>
    </w:p>
    <w:p w14:paraId="4B4EEA51">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7.1.2</w:t>
      </w:r>
      <w:r>
        <w:rPr>
          <w:rFonts w:ascii="Times New Roman" w:hAnsi="Times New Roman"/>
          <w:color w:val="000000" w:themeColor="text1"/>
          <w14:textFill>
            <w14:solidFill>
              <w14:schemeClr w14:val="tx1"/>
            </w14:solidFill>
          </w14:textFill>
        </w:rPr>
        <w:t xml:space="preserve">  进度管理应遵循计划编制、过程监测、偏差分析、纠偏调整的闭环程序。</w:t>
      </w:r>
    </w:p>
    <w:p w14:paraId="2D8010F3">
      <w:pPr>
        <w:pStyle w:val="3"/>
        <w:rPr>
          <w:color w:val="000000" w:themeColor="text1"/>
          <w14:textFill>
            <w14:solidFill>
              <w14:schemeClr w14:val="tx1"/>
            </w14:solidFill>
          </w14:textFill>
        </w:rPr>
      </w:pPr>
      <w:bookmarkStart w:id="304" w:name="_Toc1213298223"/>
      <w:bookmarkStart w:id="305" w:name="_Toc625787262"/>
      <w:bookmarkStart w:id="306" w:name="_Toc1012998573"/>
      <w:bookmarkStart w:id="307" w:name="_Toc650486286"/>
      <w:bookmarkStart w:id="308" w:name="_Toc231665531"/>
      <w:bookmarkStart w:id="309" w:name="_Toc613892794"/>
      <w:bookmarkStart w:id="310" w:name="_Toc127327919"/>
      <w:bookmarkStart w:id="311" w:name="_Toc1259885886"/>
      <w:bookmarkStart w:id="312" w:name="_Toc790669936"/>
      <w:r>
        <w:rPr>
          <w:color w:val="000000" w:themeColor="text1"/>
          <w:szCs w:val="32"/>
          <w14:textFill>
            <w14:solidFill>
              <w14:schemeClr w14:val="tx1"/>
            </w14:solidFill>
          </w14:textFill>
        </w:rPr>
        <w:t xml:space="preserve">7.2  </w:t>
      </w:r>
      <w:r>
        <w:rPr>
          <w:color w:val="000000" w:themeColor="text1"/>
          <w14:textFill>
            <w14:solidFill>
              <w14:schemeClr w14:val="tx1"/>
            </w14:solidFill>
          </w14:textFill>
        </w:rPr>
        <w:t>进度计划的编制与确认</w:t>
      </w:r>
      <w:bookmarkEnd w:id="304"/>
      <w:bookmarkEnd w:id="305"/>
      <w:bookmarkEnd w:id="306"/>
      <w:bookmarkEnd w:id="307"/>
      <w:bookmarkEnd w:id="308"/>
      <w:bookmarkEnd w:id="309"/>
      <w:bookmarkEnd w:id="310"/>
      <w:bookmarkEnd w:id="311"/>
      <w:bookmarkEnd w:id="312"/>
    </w:p>
    <w:p w14:paraId="251706DB">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7.2.1</w:t>
      </w:r>
      <w:r>
        <w:rPr>
          <w:rFonts w:ascii="Times New Roman" w:hAnsi="Times New Roman"/>
          <w:color w:val="000000" w:themeColor="text1"/>
          <w14:textFill>
            <w14:solidFill>
              <w14:schemeClr w14:val="tx1"/>
            </w14:solidFill>
          </w14:textFill>
        </w:rPr>
        <w:t xml:space="preserve">  承包人应按合同约定编制进度计划，明确里程碑节点及其完成标准，报发包人审核确认。</w:t>
      </w:r>
    </w:p>
    <w:p w14:paraId="7F6ECB75">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7.2.2</w:t>
      </w:r>
      <w:r>
        <w:rPr>
          <w:rFonts w:ascii="Times New Roman" w:hAnsi="Times New Roman"/>
          <w:color w:val="000000" w:themeColor="text1"/>
          <w14:textFill>
            <w14:solidFill>
              <w14:schemeClr w14:val="tx1"/>
            </w14:solidFill>
          </w14:textFill>
        </w:rPr>
        <w:t xml:space="preserve">  发包人应依据合同约定对进度计划进行审核确认，重点审核进度计划是否与履约清单中的进度项目相对应。</w:t>
      </w:r>
    </w:p>
    <w:p w14:paraId="588047C8">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7.2.3</w:t>
      </w:r>
      <w:r>
        <w:rPr>
          <w:rFonts w:hint="eastAsia" w:ascii="Times New Roman" w:hAnsi="Times New Roman"/>
          <w:color w:val="000000" w:themeColor="text1"/>
          <w14:textFill>
            <w14:solidFill>
              <w14:schemeClr w14:val="tx1"/>
            </w14:solidFill>
          </w14:textFill>
        </w:rPr>
        <w:t xml:space="preserve">  里程碑节点的设置应满足合同工期目标要求，宜遵循以下原则确定：</w:t>
      </w:r>
    </w:p>
    <w:p w14:paraId="4C4E9C4C">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应具有阶段性标志意义，能够反映工程实质性进展；</w:t>
      </w:r>
    </w:p>
    <w:p w14:paraId="7ECEE4E0">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应有利于进度计划的动态控制和纠偏调整；</w:t>
      </w:r>
    </w:p>
    <w:p w14:paraId="622F5A56">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  应满足合同工期管理和价款支付的需要；</w:t>
      </w:r>
    </w:p>
    <w:p w14:paraId="4DA983E9">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  各节点之间的逻辑关系和时限要求应清晰明确。</w:t>
      </w:r>
    </w:p>
    <w:p w14:paraId="7B366658">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7.2.4</w:t>
      </w:r>
      <w:r>
        <w:rPr>
          <w:rFonts w:hint="eastAsia" w:ascii="Times New Roman" w:hAnsi="Times New Roman"/>
          <w:color w:val="000000" w:themeColor="text1"/>
          <w14:textFill>
            <w14:solidFill>
              <w14:schemeClr w14:val="tx1"/>
            </w14:solidFill>
          </w14:textFill>
        </w:rPr>
        <w:t xml:space="preserve">  施工项目里程碑节点的设置宜包括主体结构关键部位完成、主要设备安装完成、竣工交付等重要控制性节点，可根据项目特点在合同中明确。</w:t>
      </w:r>
    </w:p>
    <w:p w14:paraId="5872E774">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7.2.</w:t>
      </w:r>
      <w:r>
        <w:rPr>
          <w:rFonts w:hint="eastAsia" w:ascii="Times New Roman" w:hAnsi="Times New Roman"/>
          <w:b/>
          <w:bCs/>
          <w:color w:val="000000" w:themeColor="text1"/>
          <w14:textFill>
            <w14:solidFill>
              <w14:schemeClr w14:val="tx1"/>
            </w14:solidFill>
          </w14:textFill>
        </w:rPr>
        <w:t>5</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工程总承包项目的进度计划宜增加：</w:t>
      </w:r>
    </w:p>
    <w:p w14:paraId="4B26325E">
      <w:pPr>
        <w:adjustRightInd w:val="0"/>
        <w:snapToGrid w:val="0"/>
        <w:ind w:firstLine="720" w:firstLineChars="3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1承包人编制</w:t>
      </w:r>
      <w:r>
        <w:rPr>
          <w:rFonts w:hint="eastAsia" w:ascii="Times New Roman" w:hAnsi="Times New Roman"/>
          <w:color w:val="000000" w:themeColor="text1"/>
          <w14:textFill>
            <w14:solidFill>
              <w14:schemeClr w14:val="tx1"/>
            </w14:solidFill>
          </w14:textFill>
        </w:rPr>
        <w:t>的</w:t>
      </w:r>
      <w:r>
        <w:rPr>
          <w:rFonts w:ascii="Times New Roman" w:hAnsi="Times New Roman"/>
          <w:color w:val="000000" w:themeColor="text1"/>
          <w14:textFill>
            <w14:solidFill>
              <w14:schemeClr w14:val="tx1"/>
            </w14:solidFill>
          </w14:textFill>
        </w:rPr>
        <w:t>设计、采购、施工联动的总体进度计划，</w:t>
      </w:r>
      <w:r>
        <w:rPr>
          <w:rFonts w:hint="eastAsia" w:ascii="Times New Roman" w:hAnsi="Times New Roman"/>
          <w:color w:val="000000" w:themeColor="text1"/>
          <w14:textFill>
            <w14:solidFill>
              <w14:schemeClr w14:val="tx1"/>
            </w14:solidFill>
          </w14:textFill>
        </w:rPr>
        <w:t>包括</w:t>
      </w:r>
      <w:r>
        <w:rPr>
          <w:rFonts w:ascii="Times New Roman" w:hAnsi="Times New Roman"/>
          <w:color w:val="000000" w:themeColor="text1"/>
          <w14:textFill>
            <w14:solidFill>
              <w14:schemeClr w14:val="tx1"/>
            </w14:solidFill>
          </w14:textFill>
        </w:rPr>
        <w:t>以下内容：</w:t>
      </w:r>
    </w:p>
    <w:p w14:paraId="13672933">
      <w:pPr>
        <w:adjustRightInd w:val="0"/>
        <w:snapToGrid w:val="0"/>
        <w:ind w:firstLine="960" w:firstLineChars="4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1）各阶段工作分解结构及接口关系；</w:t>
      </w:r>
    </w:p>
    <w:p w14:paraId="77A45653">
      <w:pPr>
        <w:adjustRightInd w:val="0"/>
        <w:snapToGrid w:val="0"/>
        <w:ind w:firstLine="960" w:firstLineChars="4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2）设计成果提交与采购、施工的衔接节点；</w:t>
      </w:r>
    </w:p>
    <w:p w14:paraId="7690B552">
      <w:pPr>
        <w:adjustRightInd w:val="0"/>
        <w:snapToGrid w:val="0"/>
        <w:ind w:firstLine="960" w:firstLineChars="4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3）长周期设备采购对设计进度和施工进度的前置要求；</w:t>
      </w:r>
    </w:p>
    <w:p w14:paraId="2888FEB4">
      <w:pPr>
        <w:adjustRightInd w:val="0"/>
        <w:snapToGrid w:val="0"/>
        <w:ind w:firstLine="960" w:firstLineChars="4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4）关键线路识别和网络计划分析；</w:t>
      </w:r>
    </w:p>
    <w:p w14:paraId="2AA0193B">
      <w:pPr>
        <w:adjustRightInd w:val="0"/>
        <w:snapToGrid w:val="0"/>
        <w:ind w:firstLine="960" w:firstLineChars="4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5）采用数智化技术进行施工模拟的要求。</w:t>
      </w:r>
    </w:p>
    <w:p w14:paraId="5AF4BE1B">
      <w:pPr>
        <w:adjustRightInd w:val="0"/>
        <w:snapToGrid w:val="0"/>
        <w:ind w:firstLine="720" w:firstLineChars="3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 发包人建立设计进度动态跟踪机制，定期对比实际设计进度与计划进度，分析偏差原因，要求承包人采取纠偏措施。设计进度的延误应评估其对采购、施工的影响。</w:t>
      </w:r>
    </w:p>
    <w:p w14:paraId="7A2DEB32">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7.2.</w:t>
      </w:r>
      <w:r>
        <w:rPr>
          <w:rFonts w:hint="eastAsia" w:ascii="Times New Roman" w:hAnsi="Times New Roman"/>
          <w:color w:val="000000" w:themeColor="text1"/>
          <w14:textFill>
            <w14:solidFill>
              <w14:schemeClr w14:val="tx1"/>
            </w14:solidFill>
          </w14:textFill>
        </w:rPr>
        <w:t xml:space="preserve">6 </w:t>
      </w:r>
      <w:r>
        <w:rPr>
          <w:rFonts w:ascii="Times New Roman" w:hAnsi="Times New Roman"/>
          <w:color w:val="000000" w:themeColor="text1"/>
          <w14:textFill>
            <w14:solidFill>
              <w14:schemeClr w14:val="tx1"/>
            </w14:solidFill>
          </w14:textFill>
        </w:rPr>
        <w:t>工程总承包项目宜增加设计阶段里程碑节点</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w:t>
      </w:r>
    </w:p>
    <w:p w14:paraId="4EA4D1C0">
      <w:pPr>
        <w:adjustRightInd w:val="0"/>
        <w:snapToGrid w:val="0"/>
        <w:ind w:firstLine="720" w:firstLineChars="3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 阶段性设计成果完成并通过审查；</w:t>
      </w:r>
    </w:p>
    <w:p w14:paraId="240FA4DE">
      <w:pPr>
        <w:ind w:firstLine="720" w:firstLineChars="3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 施工图设计文件或按合同约定的设计范围、标准和最终设计深度的设计成果文件完成并通过审查。</w:t>
      </w:r>
    </w:p>
    <w:p w14:paraId="0734A4A1">
      <w:pPr>
        <w:pStyle w:val="3"/>
        <w:rPr>
          <w:color w:val="000000" w:themeColor="text1"/>
          <w14:textFill>
            <w14:solidFill>
              <w14:schemeClr w14:val="tx1"/>
            </w14:solidFill>
          </w14:textFill>
        </w:rPr>
      </w:pPr>
      <w:bookmarkStart w:id="313" w:name="_Toc1525106338"/>
      <w:bookmarkStart w:id="314" w:name="_Toc1644364709"/>
      <w:bookmarkStart w:id="315" w:name="_Toc638291686"/>
      <w:bookmarkStart w:id="316" w:name="_Toc1969884443"/>
      <w:bookmarkStart w:id="317" w:name="_Toc1651791792"/>
      <w:bookmarkStart w:id="318" w:name="_Toc231665532"/>
      <w:bookmarkStart w:id="319" w:name="_Toc1953258902"/>
      <w:bookmarkStart w:id="320" w:name="_Toc2016086131"/>
      <w:bookmarkStart w:id="321" w:name="_Toc1489647666"/>
      <w:r>
        <w:rPr>
          <w:color w:val="000000" w:themeColor="text1"/>
          <w:szCs w:val="32"/>
          <w14:textFill>
            <w14:solidFill>
              <w14:schemeClr w14:val="tx1"/>
            </w14:solidFill>
          </w14:textFill>
        </w:rPr>
        <w:t xml:space="preserve">7.3  </w:t>
      </w:r>
      <w:r>
        <w:rPr>
          <w:color w:val="000000" w:themeColor="text1"/>
          <w14:textFill>
            <w14:solidFill>
              <w14:schemeClr w14:val="tx1"/>
            </w14:solidFill>
          </w14:textFill>
        </w:rPr>
        <w:t>进度监测与检查</w:t>
      </w:r>
      <w:bookmarkEnd w:id="313"/>
      <w:bookmarkEnd w:id="314"/>
      <w:bookmarkEnd w:id="315"/>
      <w:bookmarkEnd w:id="316"/>
      <w:bookmarkEnd w:id="317"/>
      <w:bookmarkEnd w:id="318"/>
      <w:bookmarkEnd w:id="319"/>
      <w:bookmarkEnd w:id="320"/>
      <w:bookmarkEnd w:id="321"/>
    </w:p>
    <w:p w14:paraId="099C6F03">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7.3.1</w:t>
      </w:r>
      <w:r>
        <w:rPr>
          <w:rFonts w:ascii="Times New Roman" w:hAnsi="Times New Roman"/>
          <w:color w:val="000000" w:themeColor="text1"/>
          <w14:textFill>
            <w14:solidFill>
              <w14:schemeClr w14:val="tx1"/>
            </w14:solidFill>
          </w14:textFill>
        </w:rPr>
        <w:t xml:space="preserve">  发包人应建立进度监测机制，通过进度报告、现场检查、信息平台等方式，动态掌握实际进度执行情况。</w:t>
      </w:r>
    </w:p>
    <w:p w14:paraId="515B743F">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7.3.2</w:t>
      </w:r>
      <w:r>
        <w:rPr>
          <w:rFonts w:ascii="Times New Roman" w:hAnsi="Times New Roman"/>
          <w:color w:val="000000" w:themeColor="text1"/>
          <w14:textFill>
            <w14:solidFill>
              <w14:schemeClr w14:val="tx1"/>
            </w14:solidFill>
          </w14:textFill>
        </w:rPr>
        <w:t xml:space="preserve">  承包人应按合同约定的周期或节点提交进度报告，真实反映实际进度与计划的对比情况。</w:t>
      </w:r>
    </w:p>
    <w:p w14:paraId="3C876A88">
      <w:pPr>
        <w:pStyle w:val="3"/>
        <w:rPr>
          <w:color w:val="000000" w:themeColor="text1"/>
          <w14:textFill>
            <w14:solidFill>
              <w14:schemeClr w14:val="tx1"/>
            </w14:solidFill>
          </w14:textFill>
        </w:rPr>
      </w:pPr>
      <w:bookmarkStart w:id="322" w:name="_Toc1370031440"/>
      <w:bookmarkStart w:id="323" w:name="_Toc899607086"/>
      <w:bookmarkStart w:id="324" w:name="_Toc1717327687"/>
      <w:bookmarkStart w:id="325" w:name="_Toc1551542010"/>
      <w:bookmarkStart w:id="326" w:name="_Toc1175095774"/>
      <w:bookmarkStart w:id="327" w:name="_Toc1257228669"/>
      <w:bookmarkStart w:id="328" w:name="_Toc2006219613"/>
      <w:bookmarkStart w:id="329" w:name="_Toc231665533"/>
      <w:bookmarkStart w:id="330" w:name="_Toc2105148899"/>
      <w:r>
        <w:rPr>
          <w:color w:val="000000" w:themeColor="text1"/>
          <w:szCs w:val="32"/>
          <w14:textFill>
            <w14:solidFill>
              <w14:schemeClr w14:val="tx1"/>
            </w14:solidFill>
          </w14:textFill>
        </w:rPr>
        <w:t xml:space="preserve">7.4  </w:t>
      </w:r>
      <w:r>
        <w:rPr>
          <w:color w:val="000000" w:themeColor="text1"/>
          <w14:textFill>
            <w14:solidFill>
              <w14:schemeClr w14:val="tx1"/>
            </w14:solidFill>
          </w14:textFill>
        </w:rPr>
        <w:t>进度偏差的识别与处置</w:t>
      </w:r>
      <w:bookmarkEnd w:id="322"/>
      <w:bookmarkEnd w:id="323"/>
      <w:bookmarkEnd w:id="324"/>
      <w:bookmarkEnd w:id="325"/>
      <w:bookmarkEnd w:id="326"/>
      <w:bookmarkEnd w:id="327"/>
      <w:bookmarkEnd w:id="328"/>
      <w:bookmarkEnd w:id="329"/>
      <w:bookmarkEnd w:id="330"/>
    </w:p>
    <w:p w14:paraId="320EAE7C">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7.4.1</w:t>
      </w:r>
      <w:r>
        <w:rPr>
          <w:rFonts w:ascii="Times New Roman" w:hAnsi="Times New Roman"/>
          <w:color w:val="000000" w:themeColor="text1"/>
          <w14:textFill>
            <w14:solidFill>
              <w14:schemeClr w14:val="tx1"/>
            </w14:solidFill>
          </w14:textFill>
        </w:rPr>
        <w:t xml:space="preserve">  发包人应对照进度计划，识别实际进度与计划之间的偏差，分析偏差原因。</w:t>
      </w:r>
    </w:p>
    <w:p w14:paraId="7848A508">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7.4.2</w:t>
      </w:r>
      <w:r>
        <w:rPr>
          <w:rFonts w:ascii="Times New Roman" w:hAnsi="Times New Roman"/>
          <w:color w:val="000000" w:themeColor="text1"/>
          <w14:textFill>
            <w14:solidFill>
              <w14:schemeClr w14:val="tx1"/>
            </w14:solidFill>
          </w14:textFill>
        </w:rPr>
        <w:t xml:space="preserve">  因承包人原因导致进度滞后的，发包人应书面通知承包人，要求其分析原因、制定纠偏措施并限期追回进度。</w:t>
      </w:r>
    </w:p>
    <w:p w14:paraId="15F029E2">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7.4.3</w:t>
      </w:r>
      <w:r>
        <w:rPr>
          <w:rFonts w:ascii="Times New Roman" w:hAnsi="Times New Roman"/>
          <w:color w:val="000000" w:themeColor="text1"/>
          <w14:textFill>
            <w14:solidFill>
              <w14:schemeClr w14:val="tx1"/>
            </w14:solidFill>
          </w14:textFill>
        </w:rPr>
        <w:t xml:space="preserve">  因发包人原因或不可抗力导致进度延误的，发包人应按合同约定及时处理工期顺延申请。</w:t>
      </w:r>
    </w:p>
    <w:p w14:paraId="39836DE3">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7.4.4</w:t>
      </w:r>
      <w:r>
        <w:rPr>
          <w:rFonts w:ascii="Times New Roman" w:hAnsi="Times New Roman"/>
          <w:color w:val="000000" w:themeColor="text1"/>
          <w14:textFill>
            <w14:solidFill>
              <w14:schemeClr w14:val="tx1"/>
            </w14:solidFill>
          </w14:textFill>
        </w:rPr>
        <w:t xml:space="preserve">  实际进度持续落后且未有效纠偏、可能影响合同总工期的，应认定为履约期限延误。发包人应按合同约定划分责任，并追究违约方违约责任。</w:t>
      </w:r>
    </w:p>
    <w:p w14:paraId="021B6C72">
      <w:pPr>
        <w:pStyle w:val="3"/>
      </w:pPr>
      <w:bookmarkStart w:id="331" w:name="_Toc988005670"/>
      <w:bookmarkStart w:id="332" w:name="_Toc324530853"/>
      <w:bookmarkStart w:id="333" w:name="_Toc1526087161"/>
      <w:bookmarkStart w:id="334" w:name="_Toc910782439"/>
      <w:bookmarkStart w:id="335" w:name="_Toc162487038"/>
      <w:bookmarkStart w:id="336" w:name="_Toc932655594"/>
      <w:bookmarkStart w:id="337" w:name="_Toc231665534"/>
      <w:bookmarkStart w:id="338" w:name="_Toc1682472356"/>
      <w:bookmarkStart w:id="339" w:name="_Toc485952635"/>
      <w:r>
        <w:rPr>
          <w:color w:val="000000"/>
          <w:szCs w:val="32"/>
        </w:rPr>
        <w:t xml:space="preserve">7.5  </w:t>
      </w:r>
      <w:r>
        <w:t>进度计划调整</w:t>
      </w:r>
      <w:bookmarkEnd w:id="331"/>
      <w:bookmarkEnd w:id="332"/>
      <w:bookmarkEnd w:id="333"/>
      <w:bookmarkEnd w:id="334"/>
      <w:bookmarkEnd w:id="335"/>
      <w:bookmarkEnd w:id="336"/>
      <w:bookmarkEnd w:id="337"/>
      <w:bookmarkEnd w:id="338"/>
      <w:bookmarkEnd w:id="339"/>
    </w:p>
    <w:p w14:paraId="711BEFC2">
      <w:pPr>
        <w:adjustRightInd w:val="0"/>
        <w:snapToGrid w:val="0"/>
        <w:rPr>
          <w:rFonts w:ascii="Times New Roman" w:hAnsi="Times New Roman"/>
        </w:rPr>
      </w:pPr>
      <w:r>
        <w:rPr>
          <w:rFonts w:ascii="Times New Roman" w:hAnsi="Times New Roman"/>
          <w:b/>
        </w:rPr>
        <w:t>7.5.1</w:t>
      </w:r>
      <w:r>
        <w:rPr>
          <w:rFonts w:ascii="Times New Roman" w:hAnsi="Times New Roman"/>
        </w:rPr>
        <w:t xml:space="preserve">  确需调整进度计划的，承包人应提出书面申请，说明调整原因、调整方案及对总工期的影响。</w:t>
      </w:r>
    </w:p>
    <w:p w14:paraId="57C9D4F9">
      <w:pPr>
        <w:rPr>
          <w:rFonts w:ascii="Times New Roman" w:hAnsi="Times New Roman"/>
        </w:rPr>
      </w:pPr>
      <w:r>
        <w:rPr>
          <w:rFonts w:ascii="Times New Roman" w:hAnsi="Times New Roman"/>
          <w:b/>
        </w:rPr>
        <w:t>7.5.2</w:t>
      </w:r>
      <w:r>
        <w:rPr>
          <w:rFonts w:ascii="Times New Roman" w:hAnsi="Times New Roman"/>
        </w:rPr>
        <w:t xml:space="preserve">  发包人应对调整申请进行审核，按照分级审批程序确认后执行。</w:t>
      </w:r>
    </w:p>
    <w:p w14:paraId="74FC29CC">
      <w:pPr>
        <w:pStyle w:val="3"/>
      </w:pPr>
      <w:bookmarkStart w:id="340" w:name="_Toc417023203"/>
      <w:bookmarkStart w:id="341" w:name="_Toc659056899"/>
      <w:bookmarkStart w:id="342" w:name="_Toc231665535"/>
      <w:bookmarkStart w:id="343" w:name="_Toc1399874884"/>
      <w:bookmarkStart w:id="344" w:name="_Toc631154394"/>
      <w:bookmarkStart w:id="345" w:name="_Toc1625967948"/>
      <w:bookmarkStart w:id="346" w:name="_Toc1221845324"/>
      <w:bookmarkStart w:id="347" w:name="_Toc454679779"/>
      <w:bookmarkStart w:id="348" w:name="_Toc930692234"/>
      <w:r>
        <w:rPr>
          <w:color w:val="000000"/>
          <w:szCs w:val="32"/>
        </w:rPr>
        <w:t xml:space="preserve">7.6  </w:t>
      </w:r>
      <w:r>
        <w:t>记录与归档</w:t>
      </w:r>
      <w:bookmarkEnd w:id="340"/>
      <w:bookmarkEnd w:id="341"/>
      <w:bookmarkEnd w:id="342"/>
      <w:bookmarkEnd w:id="343"/>
      <w:bookmarkEnd w:id="344"/>
      <w:bookmarkEnd w:id="345"/>
      <w:bookmarkEnd w:id="346"/>
      <w:bookmarkEnd w:id="347"/>
      <w:bookmarkEnd w:id="348"/>
    </w:p>
    <w:p w14:paraId="08DC730B">
      <w:pPr>
        <w:rPr>
          <w:rFonts w:ascii="Times New Roman" w:hAnsi="Times New Roman"/>
        </w:rPr>
      </w:pPr>
      <w:r>
        <w:rPr>
          <w:rFonts w:ascii="Times New Roman" w:hAnsi="Times New Roman"/>
          <w:b/>
        </w:rPr>
        <w:t>7.6.1</w:t>
      </w:r>
      <w:r>
        <w:rPr>
          <w:rFonts w:ascii="Times New Roman" w:hAnsi="Times New Roman"/>
        </w:rPr>
        <w:t xml:space="preserve">  进度计划、进度报告、偏差分析记录、纠偏措施及效果验证记录应纳入履约过程记录。</w:t>
      </w:r>
    </w:p>
    <w:p w14:paraId="0C363142">
      <w:pPr>
        <w:pStyle w:val="2"/>
        <w:rPr>
          <w:color w:val="000000" w:themeColor="text1"/>
          <w14:textFill>
            <w14:solidFill>
              <w14:schemeClr w14:val="tx1"/>
            </w14:solidFill>
          </w14:textFill>
        </w:rPr>
      </w:pPr>
      <w:r>
        <w:br w:type="page"/>
      </w:r>
      <w:bookmarkStart w:id="349" w:name="_Toc964094636"/>
      <w:bookmarkStart w:id="350" w:name="_Toc1878727291"/>
      <w:bookmarkStart w:id="351" w:name="_Toc1515040605"/>
      <w:bookmarkStart w:id="352" w:name="_Toc2081934816"/>
      <w:bookmarkStart w:id="353" w:name="_Toc557554485"/>
      <w:bookmarkStart w:id="354" w:name="_Toc2007001166"/>
      <w:bookmarkStart w:id="355" w:name="_Toc421055336"/>
      <w:bookmarkStart w:id="356" w:name="_Toc1440964798"/>
      <w:bookmarkStart w:id="357" w:name="_Toc231665536"/>
      <w:r>
        <w:rPr>
          <w:color w:val="000000" w:themeColor="text1"/>
          <w:szCs w:val="32"/>
          <w14:textFill>
            <w14:solidFill>
              <w14:schemeClr w14:val="tx1"/>
            </w14:solidFill>
          </w14:textFill>
        </w:rPr>
        <w:t>8</w:t>
      </w:r>
      <w:r>
        <w:rPr>
          <w:color w:val="000000" w:themeColor="text1"/>
          <w14:textFill>
            <w14:solidFill>
              <w14:schemeClr w14:val="tx1"/>
            </w14:solidFill>
          </w14:textFill>
        </w:rPr>
        <w:t xml:space="preserve">  质量管理</w:t>
      </w:r>
      <w:bookmarkEnd w:id="349"/>
      <w:bookmarkEnd w:id="350"/>
      <w:bookmarkEnd w:id="351"/>
      <w:bookmarkEnd w:id="352"/>
      <w:bookmarkEnd w:id="353"/>
      <w:bookmarkEnd w:id="354"/>
      <w:bookmarkEnd w:id="355"/>
      <w:bookmarkEnd w:id="356"/>
      <w:bookmarkEnd w:id="357"/>
    </w:p>
    <w:p w14:paraId="160C76AA">
      <w:pPr>
        <w:pStyle w:val="3"/>
        <w:rPr>
          <w:color w:val="000000" w:themeColor="text1"/>
          <w14:textFill>
            <w14:solidFill>
              <w14:schemeClr w14:val="tx1"/>
            </w14:solidFill>
          </w14:textFill>
        </w:rPr>
      </w:pPr>
      <w:bookmarkStart w:id="358" w:name="_Toc1964000006"/>
      <w:bookmarkStart w:id="359" w:name="_Toc1990690780"/>
      <w:bookmarkStart w:id="360" w:name="_Toc2107189501"/>
      <w:bookmarkStart w:id="361" w:name="_Toc1725545722"/>
      <w:bookmarkStart w:id="362" w:name="_Toc7597350"/>
      <w:bookmarkStart w:id="363" w:name="_Toc48493497"/>
      <w:bookmarkStart w:id="364" w:name="_Toc1717693678"/>
      <w:bookmarkStart w:id="365" w:name="_Toc1553614786"/>
      <w:bookmarkStart w:id="366" w:name="_Toc231665537"/>
      <w:r>
        <w:rPr>
          <w:color w:val="000000" w:themeColor="text1"/>
          <w:szCs w:val="32"/>
          <w14:textFill>
            <w14:solidFill>
              <w14:schemeClr w14:val="tx1"/>
            </w14:solidFill>
          </w14:textFill>
        </w:rPr>
        <w:t xml:space="preserve">8.1  </w:t>
      </w:r>
      <w:r>
        <w:rPr>
          <w:color w:val="000000" w:themeColor="text1"/>
          <w14:textFill>
            <w14:solidFill>
              <w14:schemeClr w14:val="tx1"/>
            </w14:solidFill>
          </w14:textFill>
        </w:rPr>
        <w:t>一般规定</w:t>
      </w:r>
      <w:bookmarkEnd w:id="358"/>
      <w:bookmarkEnd w:id="359"/>
      <w:bookmarkEnd w:id="360"/>
      <w:bookmarkEnd w:id="361"/>
      <w:bookmarkEnd w:id="362"/>
      <w:bookmarkEnd w:id="363"/>
      <w:bookmarkEnd w:id="364"/>
      <w:bookmarkEnd w:id="365"/>
      <w:bookmarkEnd w:id="366"/>
    </w:p>
    <w:p w14:paraId="77310862">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8.1.1</w:t>
      </w:r>
      <w:r>
        <w:rPr>
          <w:rFonts w:ascii="Times New Roman" w:hAnsi="Times New Roman"/>
          <w:color w:val="000000" w:themeColor="text1"/>
          <w14:textFill>
            <w14:solidFill>
              <w14:schemeClr w14:val="tx1"/>
            </w14:solidFill>
          </w14:textFill>
        </w:rPr>
        <w:t xml:space="preserve">  质量管理应确保工作成果符合法律法规、强制性标准和合同约定的质量要求。</w:t>
      </w:r>
    </w:p>
    <w:p w14:paraId="2F1B9362">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8.1.2</w:t>
      </w:r>
      <w:r>
        <w:rPr>
          <w:rFonts w:ascii="Times New Roman" w:hAnsi="Times New Roman"/>
          <w:color w:val="000000" w:themeColor="text1"/>
          <w14:textFill>
            <w14:solidFill>
              <w14:schemeClr w14:val="tx1"/>
            </w14:solidFill>
          </w14:textFill>
        </w:rPr>
        <w:t xml:space="preserve">  质量管理应遵循全过程控制原则，贯穿过程管控、成果验收等环节。</w:t>
      </w:r>
    </w:p>
    <w:p w14:paraId="4FF1F323">
      <w:pPr>
        <w:pStyle w:val="3"/>
        <w:rPr>
          <w:color w:val="000000" w:themeColor="text1"/>
          <w14:textFill>
            <w14:solidFill>
              <w14:schemeClr w14:val="tx1"/>
            </w14:solidFill>
          </w14:textFill>
        </w:rPr>
      </w:pPr>
      <w:bookmarkStart w:id="367" w:name="_Toc231665538"/>
      <w:bookmarkStart w:id="368" w:name="_Toc1437510696"/>
      <w:bookmarkStart w:id="369" w:name="_Toc1333811557"/>
      <w:bookmarkStart w:id="370" w:name="_Toc108849215"/>
      <w:bookmarkStart w:id="371" w:name="_Toc2135345974"/>
      <w:bookmarkStart w:id="372" w:name="_Toc1178772887"/>
      <w:bookmarkStart w:id="373" w:name="_Toc1300075534"/>
      <w:bookmarkStart w:id="374" w:name="_Toc1078627701"/>
      <w:bookmarkStart w:id="375" w:name="_Toc961249517"/>
      <w:r>
        <w:rPr>
          <w:color w:val="000000" w:themeColor="text1"/>
          <w:szCs w:val="32"/>
          <w14:textFill>
            <w14:solidFill>
              <w14:schemeClr w14:val="tx1"/>
            </w14:solidFill>
          </w14:textFill>
        </w:rPr>
        <w:t xml:space="preserve">8.2  </w:t>
      </w:r>
      <w:r>
        <w:rPr>
          <w:color w:val="000000" w:themeColor="text1"/>
          <w14:textFill>
            <w14:solidFill>
              <w14:schemeClr w14:val="tx1"/>
            </w14:solidFill>
          </w14:textFill>
        </w:rPr>
        <w:t>质量管理体系的建立与审核</w:t>
      </w:r>
      <w:bookmarkEnd w:id="367"/>
      <w:bookmarkEnd w:id="368"/>
      <w:bookmarkEnd w:id="369"/>
      <w:bookmarkEnd w:id="370"/>
      <w:bookmarkEnd w:id="371"/>
      <w:bookmarkEnd w:id="372"/>
      <w:bookmarkEnd w:id="373"/>
      <w:bookmarkEnd w:id="374"/>
      <w:bookmarkEnd w:id="375"/>
    </w:p>
    <w:p w14:paraId="10096C12">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8.2.1</w:t>
      </w:r>
      <w:r>
        <w:rPr>
          <w:rFonts w:ascii="Times New Roman" w:hAnsi="Times New Roman"/>
          <w:color w:val="000000" w:themeColor="text1"/>
          <w14:textFill>
            <w14:solidFill>
              <w14:schemeClr w14:val="tx1"/>
            </w14:solidFill>
          </w14:textFill>
        </w:rPr>
        <w:t xml:space="preserve">  承包人应按国家相关标准建立质量管理体系，明确质量目标、机构职责、控制措施，报发包人备案。</w:t>
      </w:r>
    </w:p>
    <w:p w14:paraId="5483A6A9">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8.2.2</w:t>
      </w:r>
      <w:r>
        <w:rPr>
          <w:rFonts w:ascii="Times New Roman" w:hAnsi="Times New Roman"/>
          <w:color w:val="000000" w:themeColor="text1"/>
          <w14:textFill>
            <w14:solidFill>
              <w14:schemeClr w14:val="tx1"/>
            </w14:solidFill>
          </w14:textFill>
        </w:rPr>
        <w:t xml:space="preserve">  发包人应对管理体系的完整性、合规性进行审核，提出审核意见。</w:t>
      </w:r>
    </w:p>
    <w:p w14:paraId="599D7D1B">
      <w:pPr>
        <w:pStyle w:val="3"/>
        <w:rPr>
          <w:color w:val="000000" w:themeColor="text1"/>
          <w14:textFill>
            <w14:solidFill>
              <w14:schemeClr w14:val="tx1"/>
            </w14:solidFill>
          </w14:textFill>
        </w:rPr>
      </w:pPr>
      <w:bookmarkStart w:id="376" w:name="_Toc1852766432"/>
      <w:bookmarkStart w:id="377" w:name="_Toc1033386219"/>
      <w:bookmarkStart w:id="378" w:name="_Toc231665539"/>
      <w:bookmarkStart w:id="379" w:name="_Toc265791660"/>
      <w:bookmarkStart w:id="380" w:name="_Toc673583863"/>
      <w:bookmarkStart w:id="381" w:name="_Toc1732633910"/>
      <w:bookmarkStart w:id="382" w:name="_Toc800138186"/>
      <w:bookmarkStart w:id="383" w:name="_Toc1796569255"/>
      <w:bookmarkStart w:id="384" w:name="_Toc749235840"/>
      <w:r>
        <w:rPr>
          <w:color w:val="000000" w:themeColor="text1"/>
          <w:szCs w:val="32"/>
          <w14:textFill>
            <w14:solidFill>
              <w14:schemeClr w14:val="tx1"/>
            </w14:solidFill>
          </w14:textFill>
        </w:rPr>
        <w:t xml:space="preserve">8.3  </w:t>
      </w:r>
      <w:bookmarkEnd w:id="376"/>
      <w:bookmarkEnd w:id="377"/>
      <w:bookmarkEnd w:id="378"/>
      <w:bookmarkEnd w:id="379"/>
      <w:bookmarkEnd w:id="380"/>
      <w:bookmarkEnd w:id="381"/>
      <w:r>
        <w:rPr>
          <w:color w:val="000000" w:themeColor="text1"/>
          <w14:textFill>
            <w14:solidFill>
              <w14:schemeClr w14:val="tx1"/>
            </w14:solidFill>
          </w14:textFill>
        </w:rPr>
        <w:t>质量目标与标准确定</w:t>
      </w:r>
      <w:bookmarkEnd w:id="382"/>
      <w:bookmarkEnd w:id="383"/>
      <w:bookmarkEnd w:id="384"/>
    </w:p>
    <w:p w14:paraId="09D55B3D">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8.3.1</w:t>
      </w:r>
      <w:r>
        <w:rPr>
          <w:rFonts w:ascii="Times New Roman" w:hAnsi="Times New Roman"/>
          <w:color w:val="000000" w:themeColor="text1"/>
          <w14:textFill>
            <w14:solidFill>
              <w14:schemeClr w14:val="tx1"/>
            </w14:solidFill>
          </w14:textFill>
        </w:rPr>
        <w:t xml:space="preserve">  合同应明确可量化、可考核的质量目标及验收标准。</w:t>
      </w:r>
    </w:p>
    <w:p w14:paraId="5919F240">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8.3.2</w:t>
      </w:r>
      <w:r>
        <w:rPr>
          <w:rFonts w:ascii="Times New Roman" w:hAnsi="Times New Roman"/>
          <w:color w:val="000000" w:themeColor="text1"/>
          <w14:textFill>
            <w14:solidFill>
              <w14:schemeClr w14:val="tx1"/>
            </w14:solidFill>
          </w14:textFill>
        </w:rPr>
        <w:t xml:space="preserve">  承包人应将质量目标分解到各工作环节，发包人应依据分解目标进行过程质量检查。</w:t>
      </w:r>
    </w:p>
    <w:p w14:paraId="536F58D7">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8.3.3</w:t>
      </w:r>
      <w:r>
        <w:rPr>
          <w:rFonts w:hint="eastAsia" w:ascii="Times New Roman" w:hAnsi="Times New Roman"/>
          <w:color w:val="000000" w:themeColor="text1"/>
          <w14:textFill>
            <w14:solidFill>
              <w14:schemeClr w14:val="tx1"/>
            </w14:solidFill>
          </w14:textFill>
        </w:rPr>
        <w:t xml:space="preserve">  施工项目发包人应在合同中明确工程创优目标及相关奖罚条款。</w:t>
      </w:r>
    </w:p>
    <w:p w14:paraId="71B016E8">
      <w:pPr>
        <w:rPr>
          <w:rFonts w:ascii="Times New Roman" w:hAnsi="Times New Roman"/>
          <w:strike/>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8.3.4</w:t>
      </w:r>
      <w:r>
        <w:rPr>
          <w:rFonts w:hint="eastAsia" w:ascii="Times New Roman" w:hAnsi="Times New Roman"/>
          <w:color w:val="000000" w:themeColor="text1"/>
          <w14:textFill>
            <w14:solidFill>
              <w14:schemeClr w14:val="tx1"/>
            </w14:solidFill>
          </w14:textFill>
        </w:rPr>
        <w:t xml:space="preserve">  工程总承包项目的质量目标与标准应分解为设计、采购、施工质量及整体性能指标。工程总承包项目设计质量目标应在《发包人要求》中明确。</w:t>
      </w:r>
    </w:p>
    <w:p w14:paraId="0B6BA437">
      <w:pPr>
        <w:pStyle w:val="3"/>
        <w:rPr>
          <w:color w:val="000000" w:themeColor="text1"/>
          <w14:textFill>
            <w14:solidFill>
              <w14:schemeClr w14:val="tx1"/>
            </w14:solidFill>
          </w14:textFill>
        </w:rPr>
      </w:pPr>
      <w:bookmarkStart w:id="385" w:name="_Toc382106802"/>
      <w:bookmarkStart w:id="386" w:name="_Toc231665540"/>
      <w:bookmarkStart w:id="387" w:name="_Toc1351685640"/>
      <w:bookmarkStart w:id="388" w:name="_Toc113733205"/>
      <w:bookmarkStart w:id="389" w:name="_Toc321018356"/>
      <w:bookmarkStart w:id="390" w:name="_Toc1686761435"/>
      <w:bookmarkStart w:id="391" w:name="_Toc1496219548"/>
      <w:bookmarkStart w:id="392" w:name="_Toc575180734"/>
      <w:bookmarkStart w:id="393" w:name="_Toc807773419"/>
      <w:r>
        <w:rPr>
          <w:color w:val="000000" w:themeColor="text1"/>
          <w:szCs w:val="32"/>
          <w14:textFill>
            <w14:solidFill>
              <w14:schemeClr w14:val="tx1"/>
            </w14:solidFill>
          </w14:textFill>
        </w:rPr>
        <w:t xml:space="preserve">8.4  </w:t>
      </w:r>
      <w:r>
        <w:rPr>
          <w:color w:val="000000" w:themeColor="text1"/>
          <w14:textFill>
            <w14:solidFill>
              <w14:schemeClr w14:val="tx1"/>
            </w14:solidFill>
          </w14:textFill>
        </w:rPr>
        <w:t>过程质量检查</w:t>
      </w:r>
      <w:bookmarkEnd w:id="385"/>
      <w:bookmarkEnd w:id="386"/>
      <w:bookmarkEnd w:id="387"/>
      <w:bookmarkEnd w:id="388"/>
      <w:bookmarkEnd w:id="389"/>
      <w:bookmarkEnd w:id="390"/>
      <w:bookmarkEnd w:id="391"/>
      <w:bookmarkEnd w:id="392"/>
      <w:bookmarkEnd w:id="393"/>
    </w:p>
    <w:p w14:paraId="3B87950B">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8.4.1</w:t>
      </w:r>
      <w:r>
        <w:rPr>
          <w:rFonts w:ascii="Times New Roman" w:hAnsi="Times New Roman"/>
          <w:color w:val="000000" w:themeColor="text1"/>
          <w14:textFill>
            <w14:solidFill>
              <w14:schemeClr w14:val="tx1"/>
            </w14:solidFill>
          </w14:textFill>
        </w:rPr>
        <w:t xml:space="preserve">  承包人应建立质量自检制度，对关键环节实施重点控制，不合格项不得进入下一环节。</w:t>
      </w:r>
    </w:p>
    <w:p w14:paraId="5B6D9046">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8.4.2</w:t>
      </w:r>
      <w:r>
        <w:rPr>
          <w:rFonts w:ascii="Times New Roman" w:hAnsi="Times New Roman"/>
          <w:color w:val="000000" w:themeColor="text1"/>
          <w14:textFill>
            <w14:solidFill>
              <w14:schemeClr w14:val="tx1"/>
            </w14:solidFill>
          </w14:textFill>
        </w:rPr>
        <w:t xml:space="preserve">  发包人应建立质量巡查机制，定期或不定期对承包人的质量行为和成果质量进行检查。发包人可委托第三方机构进行质量检查。</w:t>
      </w:r>
    </w:p>
    <w:p w14:paraId="1544BFFF">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8.4.3</w:t>
      </w:r>
      <w:r>
        <w:rPr>
          <w:rFonts w:hint="eastAsia" w:ascii="Times New Roman" w:hAnsi="Times New Roman"/>
          <w:color w:val="000000" w:themeColor="text1"/>
          <w14:textFill>
            <w14:solidFill>
              <w14:schemeClr w14:val="tx1"/>
            </w14:solidFill>
          </w14:textFill>
        </w:rPr>
        <w:t xml:space="preserve">  施工项目质量检查应贯穿采购、施工、试运行全过程：采购阶段可对重要设备材料实行驻厂监造，进场材料应核查质量证明文件并见证取样；施工阶段应督促技术交底、关键工序旁站巡视、工序验收合格方可进入下道工序，隐蔽工程实施举牌验收并留存影像资料，质量问题建立台账跟踪整改；隐蔽工程验收合格后方可覆盖，相关资料作为履约验收及结算的依据；试运行阶段应审核试运行方案，督促设备调试和缺陷整改，问题整改后重新验证。</w:t>
      </w:r>
    </w:p>
    <w:p w14:paraId="09866910">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8.4.4</w:t>
      </w:r>
      <w:r>
        <w:rPr>
          <w:rFonts w:hint="eastAsia" w:ascii="Times New Roman" w:hAnsi="Times New Roman"/>
          <w:color w:val="000000" w:themeColor="text1"/>
          <w14:textFill>
            <w14:solidFill>
              <w14:schemeClr w14:val="tx1"/>
            </w14:solidFill>
          </w14:textFill>
        </w:rPr>
        <w:t xml:space="preserve">  工程总承包项目质量控制应贯穿设计、采购、施工、试运行全过程，其中设计质量检查内容包括：</w:t>
      </w:r>
    </w:p>
    <w:p w14:paraId="047952F9">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组织设计输入评审，确认《发包人要求》和基础资料的完整性、清晰度；</w:t>
      </w:r>
    </w:p>
    <w:p w14:paraId="3D70CADC">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对阶段性设计成果进行审查，重点审查与《发包人要求》的比对，包括功能实现、技术可行性和投资控制等；</w:t>
      </w:r>
    </w:p>
    <w:p w14:paraId="2B2340CD">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  对施工图设计文件或按合同约定的设计范围、标准和最终设计深度的设计成果文件进行审查，确认其已落实上一阶段设计审查意见、《发包人要求》及《经审查的承包人建议书》的实现，包括设计进度、设计质量、主要材料设备参数等；</w:t>
      </w:r>
    </w:p>
    <w:p w14:paraId="0279BB03">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  采用数智化技术进行多专业碰撞检查、净高分析、规范符合性检查；</w:t>
      </w:r>
    </w:p>
    <w:p w14:paraId="130820F5">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  承包人的设计成果文件对于合同约定有偏离的，发包人应在通知中说明并明确是否要求承包人修改，设计审查意见以书面形式记录，并跟踪修改闭环。</w:t>
      </w:r>
    </w:p>
    <w:p w14:paraId="39E519B1">
      <w:pPr>
        <w:pStyle w:val="3"/>
        <w:rPr>
          <w:color w:val="000000" w:themeColor="text1"/>
          <w14:textFill>
            <w14:solidFill>
              <w14:schemeClr w14:val="tx1"/>
            </w14:solidFill>
          </w14:textFill>
        </w:rPr>
      </w:pPr>
      <w:bookmarkStart w:id="394" w:name="_Toc880705780"/>
      <w:bookmarkStart w:id="395" w:name="_Toc2056636504"/>
      <w:bookmarkStart w:id="396" w:name="_Toc1391346628"/>
      <w:bookmarkStart w:id="397" w:name="_Toc1826153736"/>
      <w:bookmarkStart w:id="398" w:name="_Toc485458425"/>
      <w:bookmarkStart w:id="399" w:name="_Toc231665541"/>
      <w:bookmarkStart w:id="400" w:name="_Toc814212862"/>
      <w:bookmarkStart w:id="401" w:name="_Toc1326145144"/>
      <w:bookmarkStart w:id="402" w:name="_Toc1248722042"/>
      <w:r>
        <w:rPr>
          <w:color w:val="000000" w:themeColor="text1"/>
          <w:szCs w:val="32"/>
          <w14:textFill>
            <w14:solidFill>
              <w14:schemeClr w14:val="tx1"/>
            </w14:solidFill>
          </w14:textFill>
        </w:rPr>
        <w:t xml:space="preserve">8.5  </w:t>
      </w:r>
      <w:r>
        <w:rPr>
          <w:color w:val="000000" w:themeColor="text1"/>
          <w14:textFill>
            <w14:solidFill>
              <w14:schemeClr w14:val="tx1"/>
            </w14:solidFill>
          </w14:textFill>
        </w:rPr>
        <w:t>质量问题与偏差处置</w:t>
      </w:r>
      <w:bookmarkEnd w:id="394"/>
      <w:bookmarkEnd w:id="395"/>
      <w:bookmarkEnd w:id="396"/>
      <w:bookmarkEnd w:id="397"/>
      <w:bookmarkEnd w:id="398"/>
      <w:bookmarkEnd w:id="399"/>
      <w:bookmarkEnd w:id="400"/>
      <w:bookmarkEnd w:id="401"/>
      <w:bookmarkEnd w:id="402"/>
    </w:p>
    <w:p w14:paraId="25177F1B">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8.5.1</w:t>
      </w:r>
      <w:r>
        <w:rPr>
          <w:rFonts w:ascii="Times New Roman" w:hAnsi="Times New Roman"/>
          <w:color w:val="000000" w:themeColor="text1"/>
          <w14:textFill>
            <w14:solidFill>
              <w14:schemeClr w14:val="tx1"/>
            </w14:solidFill>
          </w14:textFill>
        </w:rPr>
        <w:t xml:space="preserve">  检查发现质量问题的，发包人应书面通知承包人，明确问题内容、整改要求及完成期限。</w:t>
      </w:r>
    </w:p>
    <w:p w14:paraId="1174068E">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8.5.2</w:t>
      </w:r>
      <w:r>
        <w:rPr>
          <w:rFonts w:ascii="Times New Roman" w:hAnsi="Times New Roman"/>
          <w:color w:val="000000" w:themeColor="text1"/>
          <w14:textFill>
            <w14:solidFill>
              <w14:schemeClr w14:val="tx1"/>
            </w14:solidFill>
          </w14:textFill>
        </w:rPr>
        <w:t xml:space="preserve">  属于一般质量问题的，承包人应及时整改，整改完成后报发包人验收确认。</w:t>
      </w:r>
    </w:p>
    <w:p w14:paraId="2B2C1D99">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8.5.3</w:t>
      </w:r>
      <w:r>
        <w:rPr>
          <w:rFonts w:ascii="Times New Roman" w:hAnsi="Times New Roman"/>
          <w:color w:val="000000" w:themeColor="text1"/>
          <w14:textFill>
            <w14:solidFill>
              <w14:schemeClr w14:val="tx1"/>
            </w14:solidFill>
          </w14:textFill>
        </w:rPr>
        <w:t xml:space="preserve">  属于质量事故的，承包人应立即停止相关作业并报告发包人，配合调查，按经审批的处理方案实施整改，经验收合格后方可恢复作业。</w:t>
      </w:r>
    </w:p>
    <w:p w14:paraId="56785045">
      <w:pPr>
        <w:pStyle w:val="3"/>
        <w:rPr>
          <w:color w:val="000000" w:themeColor="text1"/>
          <w14:textFill>
            <w14:solidFill>
              <w14:schemeClr w14:val="tx1"/>
            </w14:solidFill>
          </w14:textFill>
        </w:rPr>
      </w:pPr>
      <w:bookmarkStart w:id="403" w:name="_Toc16867634"/>
      <w:bookmarkStart w:id="404" w:name="_Toc168496389"/>
      <w:bookmarkStart w:id="405" w:name="_Toc180291030"/>
      <w:bookmarkStart w:id="406" w:name="_Toc2122234756"/>
      <w:bookmarkStart w:id="407" w:name="_Toc1554360573"/>
      <w:bookmarkStart w:id="408" w:name="_Toc231665542"/>
      <w:bookmarkStart w:id="409" w:name="_Toc662632997"/>
      <w:bookmarkStart w:id="410" w:name="_Toc1161279296"/>
      <w:bookmarkStart w:id="411" w:name="_Toc951333982"/>
      <w:r>
        <w:rPr>
          <w:color w:val="000000" w:themeColor="text1"/>
          <w:szCs w:val="32"/>
          <w14:textFill>
            <w14:solidFill>
              <w14:schemeClr w14:val="tx1"/>
            </w14:solidFill>
          </w14:textFill>
        </w:rPr>
        <w:t xml:space="preserve">8.6  </w:t>
      </w:r>
      <w:r>
        <w:rPr>
          <w:color w:val="000000" w:themeColor="text1"/>
          <w14:textFill>
            <w14:solidFill>
              <w14:schemeClr w14:val="tx1"/>
            </w14:solidFill>
          </w14:textFill>
        </w:rPr>
        <w:t>质量问题归责与处置</w:t>
      </w:r>
      <w:bookmarkEnd w:id="403"/>
      <w:bookmarkEnd w:id="404"/>
      <w:bookmarkEnd w:id="405"/>
      <w:bookmarkEnd w:id="406"/>
      <w:bookmarkEnd w:id="407"/>
      <w:bookmarkEnd w:id="408"/>
      <w:bookmarkEnd w:id="409"/>
      <w:bookmarkEnd w:id="410"/>
      <w:bookmarkEnd w:id="411"/>
    </w:p>
    <w:p w14:paraId="60AC512A">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8.6.1</w:t>
      </w:r>
      <w:r>
        <w:rPr>
          <w:rFonts w:ascii="Times New Roman" w:hAnsi="Times New Roman"/>
          <w:color w:val="000000" w:themeColor="text1"/>
          <w14:textFill>
            <w14:solidFill>
              <w14:schemeClr w14:val="tx1"/>
            </w14:solidFill>
          </w14:textFill>
        </w:rPr>
        <w:t xml:space="preserve">  因承包人原因导致质量问题的，发包人应按合同约定追究其违约责任。</w:t>
      </w:r>
    </w:p>
    <w:p w14:paraId="4DB299E4">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8.6.2</w:t>
      </w:r>
      <w:r>
        <w:rPr>
          <w:rFonts w:ascii="Times New Roman" w:hAnsi="Times New Roman"/>
          <w:color w:val="000000" w:themeColor="text1"/>
          <w14:textFill>
            <w14:solidFill>
              <w14:schemeClr w14:val="tx1"/>
            </w14:solidFill>
          </w14:textFill>
        </w:rPr>
        <w:t xml:space="preserve">  质量问题的检查记录、整改通知、整改验收记录及责任追究记录应纳入履约过程记录。</w:t>
      </w:r>
    </w:p>
    <w:p w14:paraId="57C68D4E">
      <w:pPr>
        <w:pStyle w:val="3"/>
        <w:rPr>
          <w:color w:val="000000" w:themeColor="text1"/>
          <w14:textFill>
            <w14:solidFill>
              <w14:schemeClr w14:val="tx1"/>
            </w14:solidFill>
          </w14:textFill>
        </w:rPr>
      </w:pPr>
      <w:bookmarkStart w:id="412" w:name="_Toc260593466"/>
      <w:bookmarkStart w:id="413" w:name="_Toc165087171"/>
      <w:bookmarkStart w:id="414" w:name="_Toc191475019"/>
      <w:bookmarkStart w:id="415" w:name="_Toc955256231"/>
      <w:bookmarkStart w:id="416" w:name="_Toc1655881046"/>
      <w:bookmarkStart w:id="417" w:name="_Toc231665543"/>
      <w:bookmarkStart w:id="418" w:name="_Toc1154861343"/>
      <w:bookmarkStart w:id="419" w:name="_Toc394419101"/>
      <w:bookmarkStart w:id="420" w:name="_Toc238237827"/>
      <w:r>
        <w:rPr>
          <w:color w:val="000000" w:themeColor="text1"/>
          <w:szCs w:val="32"/>
          <w14:textFill>
            <w14:solidFill>
              <w14:schemeClr w14:val="tx1"/>
            </w14:solidFill>
          </w14:textFill>
        </w:rPr>
        <w:t xml:space="preserve">8.7  </w:t>
      </w:r>
      <w:r>
        <w:rPr>
          <w:color w:val="000000" w:themeColor="text1"/>
          <w14:textFill>
            <w14:solidFill>
              <w14:schemeClr w14:val="tx1"/>
            </w14:solidFill>
          </w14:textFill>
        </w:rPr>
        <w:t>成果交付前的质量检查</w:t>
      </w:r>
      <w:bookmarkEnd w:id="412"/>
      <w:bookmarkEnd w:id="413"/>
      <w:bookmarkEnd w:id="414"/>
      <w:bookmarkEnd w:id="415"/>
      <w:bookmarkEnd w:id="416"/>
      <w:bookmarkEnd w:id="417"/>
      <w:bookmarkEnd w:id="418"/>
      <w:bookmarkEnd w:id="419"/>
      <w:bookmarkEnd w:id="420"/>
    </w:p>
    <w:p w14:paraId="7727BC21">
      <w:pPr>
        <w:adjustRightInd w:val="0"/>
        <w:snapToGrid w:val="0"/>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8.7.1</w:t>
      </w:r>
      <w:r>
        <w:rPr>
          <w:rFonts w:ascii="Times New Roman" w:hAnsi="Times New Roman"/>
          <w:color w:val="000000" w:themeColor="text1"/>
          <w14:textFill>
            <w14:solidFill>
              <w14:schemeClr w14:val="tx1"/>
            </w14:solidFill>
          </w14:textFill>
        </w:rPr>
        <w:t xml:space="preserve">  成果交付前，承包人应组织内部全面自查，确认合格后向发包人提交验收申请和完整的成果资料。</w:t>
      </w:r>
    </w:p>
    <w:p w14:paraId="4A69332D">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8.7.2</w:t>
      </w:r>
      <w:r>
        <w:rPr>
          <w:rFonts w:ascii="Times New Roman" w:hAnsi="Times New Roman"/>
          <w:color w:val="000000" w:themeColor="text1"/>
          <w14:textFill>
            <w14:solidFill>
              <w14:schemeClr w14:val="tx1"/>
            </w14:solidFill>
          </w14:textFill>
        </w:rPr>
        <w:t xml:space="preserve">  发包人组织质量验收，检查成果质量及资料完整性。发现问题限期整改，整改完成后重新质量验收。</w:t>
      </w:r>
    </w:p>
    <w:p w14:paraId="40DD227C">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8.7.3</w:t>
      </w:r>
      <w:r>
        <w:rPr>
          <w:rFonts w:hint="eastAsia" w:ascii="Times New Roman" w:hAnsi="Times New Roman"/>
          <w:color w:val="000000" w:themeColor="text1"/>
          <w14:textFill>
            <w14:solidFill>
              <w14:schemeClr w14:val="tx1"/>
            </w14:solidFill>
          </w14:textFill>
        </w:rPr>
        <w:t xml:space="preserve">  工程总承包项目发包人应全面核查各项成果对《发包人要求》逐条对照的实现情况、采购成果与设计参数的符合性、施工成果与设计意图的一致性以及试运行成果与性能考核指标的达标情况，确保成果之间接口协调、内容一致。</w:t>
      </w:r>
    </w:p>
    <w:p w14:paraId="7E80C06A">
      <w:pPr>
        <w:pStyle w:val="2"/>
      </w:pPr>
      <w:r>
        <w:rPr>
          <w:color w:val="000000" w:themeColor="text1"/>
          <w14:textFill>
            <w14:solidFill>
              <w14:schemeClr w14:val="tx1"/>
            </w14:solidFill>
          </w14:textFill>
        </w:rPr>
        <w:br w:type="page"/>
      </w:r>
      <w:bookmarkStart w:id="421" w:name="_Toc231665544"/>
      <w:bookmarkStart w:id="422" w:name="_Toc1348702324"/>
      <w:bookmarkStart w:id="423" w:name="_Toc993986497"/>
      <w:bookmarkStart w:id="424" w:name="_Toc943411756"/>
      <w:bookmarkStart w:id="425" w:name="_Toc32061499"/>
      <w:bookmarkStart w:id="426" w:name="_Toc1890050767"/>
      <w:bookmarkStart w:id="427" w:name="_Toc323172615"/>
      <w:bookmarkStart w:id="428" w:name="_Toc373915033"/>
      <w:bookmarkStart w:id="429" w:name="_Toc1334777771"/>
      <w:r>
        <w:t>9  安全与环境管理</w:t>
      </w:r>
      <w:bookmarkEnd w:id="421"/>
      <w:bookmarkEnd w:id="422"/>
      <w:bookmarkEnd w:id="423"/>
      <w:bookmarkEnd w:id="424"/>
      <w:bookmarkEnd w:id="425"/>
      <w:bookmarkEnd w:id="426"/>
      <w:bookmarkEnd w:id="427"/>
      <w:bookmarkEnd w:id="428"/>
      <w:bookmarkEnd w:id="429"/>
    </w:p>
    <w:p w14:paraId="2C62ACC1">
      <w:pPr>
        <w:pStyle w:val="3"/>
      </w:pPr>
      <w:bookmarkStart w:id="430" w:name="_Toc2075115282"/>
      <w:bookmarkStart w:id="431" w:name="_Toc1952441257"/>
      <w:bookmarkStart w:id="432" w:name="_Toc939958327"/>
      <w:bookmarkStart w:id="433" w:name="_Toc26208176"/>
      <w:bookmarkStart w:id="434" w:name="_Toc1136707081"/>
      <w:bookmarkStart w:id="435" w:name="_Toc2002235783"/>
      <w:bookmarkStart w:id="436" w:name="_Toc1981995174"/>
      <w:bookmarkStart w:id="437" w:name="_Toc231665545"/>
      <w:bookmarkStart w:id="438" w:name="_Toc959059900"/>
      <w:r>
        <w:rPr>
          <w:color w:val="000000"/>
          <w:szCs w:val="32"/>
        </w:rPr>
        <w:t xml:space="preserve">9.1  </w:t>
      </w:r>
      <w:r>
        <w:t>一般规定</w:t>
      </w:r>
      <w:bookmarkEnd w:id="430"/>
      <w:bookmarkEnd w:id="431"/>
      <w:bookmarkEnd w:id="432"/>
      <w:bookmarkEnd w:id="433"/>
      <w:bookmarkEnd w:id="434"/>
      <w:bookmarkEnd w:id="435"/>
      <w:bookmarkEnd w:id="436"/>
      <w:bookmarkEnd w:id="437"/>
      <w:bookmarkEnd w:id="438"/>
    </w:p>
    <w:p w14:paraId="608A2088">
      <w:pPr>
        <w:rPr>
          <w:rFonts w:ascii="Times New Roman" w:hAnsi="Times New Roman"/>
        </w:rPr>
      </w:pPr>
      <w:r>
        <w:rPr>
          <w:rFonts w:ascii="Times New Roman" w:hAnsi="Times New Roman"/>
          <w:b/>
        </w:rPr>
        <w:t>9.1.1</w:t>
      </w:r>
      <w:r>
        <w:rPr>
          <w:rFonts w:ascii="Times New Roman" w:hAnsi="Times New Roman"/>
        </w:rPr>
        <w:t xml:space="preserve">  安全与环境管理应坚持安全第一、预防为主、综合治理的方针。</w:t>
      </w:r>
    </w:p>
    <w:p w14:paraId="2E0EF8FE">
      <w:pPr>
        <w:pStyle w:val="3"/>
      </w:pPr>
      <w:bookmarkStart w:id="439" w:name="_Toc269279395"/>
      <w:bookmarkStart w:id="440" w:name="_Toc1600855566"/>
      <w:bookmarkStart w:id="441" w:name="_Toc1875790704"/>
      <w:bookmarkStart w:id="442" w:name="_Toc377931477"/>
      <w:bookmarkStart w:id="443" w:name="_Toc231665546"/>
      <w:bookmarkStart w:id="444" w:name="_Toc638786345"/>
      <w:bookmarkStart w:id="445" w:name="_Toc923712400"/>
      <w:bookmarkStart w:id="446" w:name="_Toc196524069"/>
      <w:bookmarkStart w:id="447" w:name="_Toc817262001"/>
      <w:r>
        <w:rPr>
          <w:color w:val="000000"/>
          <w:szCs w:val="32"/>
        </w:rPr>
        <w:t xml:space="preserve">9.2  </w:t>
      </w:r>
      <w:r>
        <w:t>安全责任体系建立</w:t>
      </w:r>
      <w:bookmarkEnd w:id="439"/>
      <w:bookmarkEnd w:id="440"/>
      <w:bookmarkEnd w:id="441"/>
      <w:bookmarkEnd w:id="442"/>
      <w:bookmarkEnd w:id="443"/>
      <w:bookmarkEnd w:id="444"/>
      <w:bookmarkEnd w:id="445"/>
      <w:bookmarkEnd w:id="446"/>
      <w:bookmarkEnd w:id="447"/>
    </w:p>
    <w:p w14:paraId="0F72FE38">
      <w:pPr>
        <w:adjustRightInd w:val="0"/>
        <w:snapToGrid w:val="0"/>
        <w:rPr>
          <w:rFonts w:ascii="Times New Roman" w:hAnsi="Times New Roman"/>
        </w:rPr>
      </w:pPr>
      <w:r>
        <w:rPr>
          <w:rFonts w:ascii="Times New Roman" w:hAnsi="Times New Roman"/>
          <w:b/>
        </w:rPr>
        <w:t>9.2.1</w:t>
      </w:r>
      <w:r>
        <w:rPr>
          <w:rFonts w:ascii="Times New Roman" w:hAnsi="Times New Roman"/>
        </w:rPr>
        <w:t xml:space="preserve">  发包人应建立健全项目安全责任体系，明确各承包人安全生产责任，签订安全生产责任书，责任落实到人。</w:t>
      </w:r>
    </w:p>
    <w:p w14:paraId="498F6AEF">
      <w:pPr>
        <w:rPr>
          <w:rFonts w:ascii="Times New Roman" w:hAnsi="Times New Roman"/>
        </w:rPr>
      </w:pPr>
      <w:r>
        <w:rPr>
          <w:rFonts w:ascii="Times New Roman" w:hAnsi="Times New Roman"/>
          <w:b/>
        </w:rPr>
        <w:t>9.2.2</w:t>
      </w:r>
      <w:r>
        <w:rPr>
          <w:rFonts w:ascii="Times New Roman" w:hAnsi="Times New Roman"/>
        </w:rPr>
        <w:t xml:space="preserve">  发包人应指定安全生产管理部门及人员，负责统筹安全管理制度和应急预案，组织安全检查、培训及演练。</w:t>
      </w:r>
    </w:p>
    <w:p w14:paraId="1E061C55">
      <w:pPr>
        <w:pStyle w:val="3"/>
      </w:pPr>
      <w:bookmarkStart w:id="448" w:name="_Toc1730607172"/>
      <w:bookmarkStart w:id="449" w:name="_Toc1496197749"/>
      <w:bookmarkStart w:id="450" w:name="_Toc1897573265"/>
      <w:bookmarkStart w:id="451" w:name="_Toc366348252"/>
      <w:bookmarkStart w:id="452" w:name="_Toc1036517721"/>
      <w:bookmarkStart w:id="453" w:name="_Toc1068865103"/>
      <w:bookmarkStart w:id="454" w:name="_Toc231665547"/>
      <w:bookmarkStart w:id="455" w:name="_Toc448207295"/>
      <w:bookmarkStart w:id="456" w:name="_Toc543899351"/>
      <w:r>
        <w:rPr>
          <w:color w:val="000000"/>
          <w:szCs w:val="32"/>
        </w:rPr>
        <w:t xml:space="preserve">9.3  </w:t>
      </w:r>
      <w:r>
        <w:t>安全检查</w:t>
      </w:r>
      <w:bookmarkEnd w:id="448"/>
      <w:bookmarkEnd w:id="449"/>
      <w:bookmarkEnd w:id="450"/>
      <w:bookmarkEnd w:id="451"/>
      <w:bookmarkEnd w:id="452"/>
      <w:bookmarkEnd w:id="453"/>
      <w:bookmarkEnd w:id="454"/>
      <w:bookmarkEnd w:id="455"/>
      <w:bookmarkEnd w:id="456"/>
    </w:p>
    <w:p w14:paraId="6B79A39F">
      <w:pPr>
        <w:adjustRightInd w:val="0"/>
        <w:snapToGrid w:val="0"/>
        <w:rPr>
          <w:rFonts w:ascii="Times New Roman" w:hAnsi="Times New Roman"/>
        </w:rPr>
      </w:pPr>
      <w:r>
        <w:rPr>
          <w:rFonts w:ascii="Times New Roman" w:hAnsi="Times New Roman"/>
          <w:b/>
        </w:rPr>
        <w:t>9.3.1</w:t>
      </w:r>
      <w:r>
        <w:rPr>
          <w:rFonts w:ascii="Times New Roman" w:hAnsi="Times New Roman"/>
        </w:rPr>
        <w:t xml:space="preserve">  发包人应建立安全检查机制，定期或不定期对现场安全生产情况进行检查。</w:t>
      </w:r>
    </w:p>
    <w:p w14:paraId="3486F430">
      <w:pPr>
        <w:rPr>
          <w:rFonts w:ascii="Times New Roman" w:hAnsi="Times New Roman"/>
        </w:rPr>
      </w:pPr>
      <w:r>
        <w:rPr>
          <w:rFonts w:ascii="Times New Roman" w:hAnsi="Times New Roman"/>
          <w:b/>
        </w:rPr>
        <w:t>9.3.2</w:t>
      </w:r>
      <w:r>
        <w:rPr>
          <w:rFonts w:ascii="Times New Roman" w:hAnsi="Times New Roman"/>
        </w:rPr>
        <w:t xml:space="preserve">  发包人应监督各参建方落实安全生产责任，检查安全生产措施的执行情况。</w:t>
      </w:r>
    </w:p>
    <w:p w14:paraId="38529ECB">
      <w:pPr>
        <w:pStyle w:val="3"/>
      </w:pPr>
      <w:bookmarkStart w:id="457" w:name="_Toc1706104158"/>
      <w:bookmarkStart w:id="458" w:name="_Toc1461739932"/>
      <w:bookmarkStart w:id="459" w:name="_Toc692419940"/>
      <w:bookmarkStart w:id="460" w:name="_Toc1857613054"/>
      <w:bookmarkStart w:id="461" w:name="_Toc2046143035"/>
      <w:bookmarkStart w:id="462" w:name="_Toc637571828"/>
      <w:bookmarkStart w:id="463" w:name="_Toc89586717"/>
      <w:bookmarkStart w:id="464" w:name="_Toc1110800937"/>
      <w:bookmarkStart w:id="465" w:name="_Toc231665548"/>
      <w:r>
        <w:rPr>
          <w:color w:val="000000"/>
          <w:szCs w:val="32"/>
        </w:rPr>
        <w:t xml:space="preserve">9.4  </w:t>
      </w:r>
      <w:r>
        <w:t>安全隐患识别与整改闭环</w:t>
      </w:r>
      <w:bookmarkEnd w:id="457"/>
      <w:bookmarkEnd w:id="458"/>
      <w:bookmarkEnd w:id="459"/>
      <w:bookmarkEnd w:id="460"/>
      <w:bookmarkEnd w:id="461"/>
      <w:bookmarkEnd w:id="462"/>
      <w:bookmarkEnd w:id="463"/>
      <w:bookmarkEnd w:id="464"/>
      <w:bookmarkEnd w:id="465"/>
    </w:p>
    <w:p w14:paraId="54A2A4EA">
      <w:pPr>
        <w:adjustRightInd w:val="0"/>
        <w:snapToGrid w:val="0"/>
        <w:rPr>
          <w:rFonts w:ascii="Times New Roman" w:hAnsi="Times New Roman"/>
        </w:rPr>
      </w:pPr>
      <w:r>
        <w:rPr>
          <w:rFonts w:ascii="Times New Roman" w:hAnsi="Times New Roman"/>
          <w:b/>
        </w:rPr>
        <w:t>9.4.1</w:t>
      </w:r>
      <w:r>
        <w:rPr>
          <w:rFonts w:ascii="Times New Roman" w:hAnsi="Times New Roman"/>
        </w:rPr>
        <w:t xml:space="preserve">  发现安全隐患的，发包人应下达整改通知，明确隐患内容、整改要求及期限。</w:t>
      </w:r>
    </w:p>
    <w:p w14:paraId="7E9D96AC">
      <w:pPr>
        <w:adjustRightInd w:val="0"/>
        <w:snapToGrid w:val="0"/>
        <w:rPr>
          <w:rFonts w:ascii="Times New Roman" w:hAnsi="Times New Roman"/>
          <w:b/>
        </w:rPr>
      </w:pPr>
      <w:r>
        <w:rPr>
          <w:rFonts w:ascii="Times New Roman" w:hAnsi="Times New Roman"/>
          <w:b/>
        </w:rPr>
        <w:t xml:space="preserve">9.4.2  </w:t>
      </w:r>
      <w:r>
        <w:rPr>
          <w:rFonts w:ascii="Times New Roman" w:hAnsi="Times New Roman"/>
        </w:rPr>
        <w:t>属于一般隐患的，责任人应按要求限期整改，发包人跟踪整改情况并验收。</w:t>
      </w:r>
    </w:p>
    <w:p w14:paraId="7EAA3360">
      <w:pPr>
        <w:adjustRightInd w:val="0"/>
        <w:snapToGrid w:val="0"/>
        <w:rPr>
          <w:rFonts w:ascii="Times New Roman" w:hAnsi="Times New Roman"/>
        </w:rPr>
      </w:pPr>
      <w:r>
        <w:rPr>
          <w:rFonts w:ascii="Times New Roman" w:hAnsi="Times New Roman"/>
          <w:b/>
        </w:rPr>
        <w:t xml:space="preserve">9.4.3 </w:t>
      </w:r>
      <w:r>
        <w:rPr>
          <w:rFonts w:ascii="Times New Roman" w:hAnsi="Times New Roman"/>
        </w:rPr>
        <w:t xml:space="preserve"> 属于重大隐患的，发包人应责令停工整改，隐患消除并经验收合格后方可恢复作业。</w:t>
      </w:r>
    </w:p>
    <w:p w14:paraId="6281E37B">
      <w:pPr>
        <w:rPr>
          <w:rFonts w:ascii="Times New Roman" w:hAnsi="Times New Roman"/>
        </w:rPr>
      </w:pPr>
      <w:r>
        <w:rPr>
          <w:rFonts w:ascii="Times New Roman" w:hAnsi="Times New Roman"/>
          <w:b/>
        </w:rPr>
        <w:t>9.4.4</w:t>
      </w:r>
      <w:r>
        <w:rPr>
          <w:rFonts w:ascii="Times New Roman" w:hAnsi="Times New Roman"/>
        </w:rPr>
        <w:t xml:space="preserve">  未按要求整改或整改不到位的，发包人应按合同约定追究违约责任，相关记录纳入履约过程记录。</w:t>
      </w:r>
    </w:p>
    <w:p w14:paraId="2C00DE65">
      <w:pPr>
        <w:pStyle w:val="3"/>
      </w:pPr>
      <w:bookmarkStart w:id="466" w:name="_Toc342858306"/>
      <w:bookmarkStart w:id="467" w:name="_Toc406279337"/>
      <w:bookmarkStart w:id="468" w:name="_Toc1070570622"/>
      <w:bookmarkStart w:id="469" w:name="_Toc742844488"/>
      <w:bookmarkStart w:id="470" w:name="_Toc2000522858"/>
      <w:bookmarkStart w:id="471" w:name="_Toc286880746"/>
      <w:bookmarkStart w:id="472" w:name="_Toc231665549"/>
      <w:bookmarkStart w:id="473" w:name="_Toc319586913"/>
      <w:bookmarkStart w:id="474" w:name="_Toc283079984"/>
      <w:r>
        <w:rPr>
          <w:color w:val="000000"/>
          <w:szCs w:val="32"/>
        </w:rPr>
        <w:t xml:space="preserve">9.5  </w:t>
      </w:r>
      <w:r>
        <w:t>应急管理</w:t>
      </w:r>
      <w:bookmarkEnd w:id="466"/>
      <w:bookmarkEnd w:id="467"/>
      <w:bookmarkEnd w:id="468"/>
      <w:bookmarkEnd w:id="469"/>
      <w:bookmarkEnd w:id="470"/>
      <w:bookmarkEnd w:id="471"/>
      <w:bookmarkEnd w:id="472"/>
      <w:bookmarkEnd w:id="473"/>
      <w:bookmarkEnd w:id="474"/>
    </w:p>
    <w:p w14:paraId="38609412">
      <w:pPr>
        <w:adjustRightInd w:val="0"/>
        <w:snapToGrid w:val="0"/>
        <w:rPr>
          <w:rFonts w:ascii="Times New Roman" w:hAnsi="Times New Roman"/>
        </w:rPr>
      </w:pPr>
      <w:r>
        <w:rPr>
          <w:rFonts w:ascii="Times New Roman" w:hAnsi="Times New Roman"/>
          <w:b/>
        </w:rPr>
        <w:t>9.5.1</w:t>
      </w:r>
      <w:r>
        <w:rPr>
          <w:rFonts w:ascii="Times New Roman" w:hAnsi="Times New Roman"/>
        </w:rPr>
        <w:t xml:space="preserve">  发包人应督促各参建方建立应急管理体系，编制应急预案并组织演练。</w:t>
      </w:r>
    </w:p>
    <w:p w14:paraId="6C1D4609">
      <w:pPr>
        <w:adjustRightInd w:val="0"/>
        <w:snapToGrid w:val="0"/>
        <w:rPr>
          <w:rFonts w:ascii="Times New Roman" w:hAnsi="Times New Roman"/>
        </w:rPr>
      </w:pPr>
      <w:r>
        <w:rPr>
          <w:rFonts w:ascii="Times New Roman" w:hAnsi="Times New Roman"/>
          <w:b/>
        </w:rPr>
        <w:t>9.5.2</w:t>
      </w:r>
      <w:r>
        <w:rPr>
          <w:rFonts w:ascii="Times New Roman" w:hAnsi="Times New Roman"/>
        </w:rPr>
        <w:t xml:space="preserve">  发生安全事故的，发包人应立即启动应急预案，组织救援，防止事故扩大，并按相关规定及时报告。</w:t>
      </w:r>
    </w:p>
    <w:p w14:paraId="3A14BCC2">
      <w:pPr>
        <w:rPr>
          <w:rFonts w:ascii="Times New Roman" w:hAnsi="Times New Roman"/>
        </w:rPr>
      </w:pPr>
      <w:r>
        <w:rPr>
          <w:rFonts w:ascii="Times New Roman" w:hAnsi="Times New Roman"/>
          <w:b/>
        </w:rPr>
        <w:t>9.5.3</w:t>
      </w:r>
      <w:r>
        <w:rPr>
          <w:rFonts w:ascii="Times New Roman" w:hAnsi="Times New Roman"/>
        </w:rPr>
        <w:t xml:space="preserve">  事故处理完毕后，发包人应配合调查处理，组织总结分析，完善防范措施。</w:t>
      </w:r>
    </w:p>
    <w:p w14:paraId="489A311F">
      <w:pPr>
        <w:pStyle w:val="3"/>
      </w:pPr>
      <w:bookmarkStart w:id="475" w:name="_Toc1593145786"/>
      <w:bookmarkStart w:id="476" w:name="_Toc795532413"/>
      <w:bookmarkStart w:id="477" w:name="_Toc1372273028"/>
      <w:bookmarkStart w:id="478" w:name="_Toc47480217"/>
      <w:bookmarkStart w:id="479" w:name="_Toc211469330"/>
      <w:bookmarkStart w:id="480" w:name="_Toc231665550"/>
      <w:bookmarkStart w:id="481" w:name="_Toc1152256984"/>
      <w:bookmarkStart w:id="482" w:name="_Toc1789197344"/>
      <w:bookmarkStart w:id="483" w:name="_Toc597205736"/>
      <w:r>
        <w:rPr>
          <w:color w:val="000000"/>
          <w:szCs w:val="32"/>
        </w:rPr>
        <w:t xml:space="preserve">9.6  </w:t>
      </w:r>
      <w:r>
        <w:t>环境管理</w:t>
      </w:r>
      <w:bookmarkEnd w:id="475"/>
      <w:bookmarkEnd w:id="476"/>
      <w:bookmarkEnd w:id="477"/>
      <w:bookmarkEnd w:id="478"/>
      <w:bookmarkEnd w:id="479"/>
      <w:bookmarkEnd w:id="480"/>
      <w:bookmarkEnd w:id="481"/>
      <w:bookmarkEnd w:id="482"/>
      <w:bookmarkEnd w:id="483"/>
    </w:p>
    <w:p w14:paraId="5E5B5983">
      <w:pPr>
        <w:adjustRightInd w:val="0"/>
        <w:snapToGrid w:val="0"/>
        <w:rPr>
          <w:rFonts w:ascii="Times New Roman" w:hAnsi="Times New Roman"/>
        </w:rPr>
      </w:pPr>
      <w:r>
        <w:rPr>
          <w:rFonts w:ascii="Times New Roman" w:hAnsi="Times New Roman"/>
          <w:b/>
        </w:rPr>
        <w:t>9.6.1</w:t>
      </w:r>
      <w:r>
        <w:rPr>
          <w:rFonts w:ascii="Times New Roman" w:hAnsi="Times New Roman"/>
        </w:rPr>
        <w:t xml:space="preserve">  发包人应督促承包人遵守环境保护法律法规，落实污染防治措施。</w:t>
      </w:r>
    </w:p>
    <w:p w14:paraId="7185DBF7">
      <w:pPr>
        <w:rPr>
          <w:rFonts w:ascii="Times New Roman" w:hAnsi="Times New Roman"/>
        </w:rPr>
      </w:pPr>
      <w:r>
        <w:rPr>
          <w:rFonts w:ascii="Times New Roman" w:hAnsi="Times New Roman"/>
          <w:b/>
        </w:rPr>
        <w:t>9.6.2</w:t>
      </w:r>
      <w:r>
        <w:rPr>
          <w:rFonts w:ascii="Times New Roman" w:hAnsi="Times New Roman"/>
        </w:rPr>
        <w:t xml:space="preserve">  发包人应建立环境检查机制，发现环境问题及时督促整改并跟踪落实。</w:t>
      </w:r>
    </w:p>
    <w:p w14:paraId="375489B8">
      <w:pPr>
        <w:pStyle w:val="2"/>
      </w:pPr>
      <w:r>
        <w:br w:type="page"/>
      </w:r>
      <w:bookmarkStart w:id="484" w:name="_Toc683639967"/>
      <w:bookmarkStart w:id="485" w:name="_Toc1732663875"/>
      <w:bookmarkStart w:id="486" w:name="_Toc1950139832"/>
      <w:bookmarkStart w:id="487" w:name="_Toc231665551"/>
      <w:bookmarkStart w:id="488" w:name="_Toc1670867484"/>
      <w:bookmarkStart w:id="489" w:name="_Toc1779555325"/>
      <w:bookmarkStart w:id="490" w:name="_Toc1606541945"/>
      <w:bookmarkStart w:id="491" w:name="_Toc122542805"/>
      <w:bookmarkStart w:id="492" w:name="_Toc550680422"/>
      <w:r>
        <w:t>10  费用与支付管理</w:t>
      </w:r>
      <w:bookmarkEnd w:id="484"/>
      <w:bookmarkEnd w:id="485"/>
      <w:bookmarkEnd w:id="486"/>
      <w:bookmarkEnd w:id="487"/>
      <w:bookmarkEnd w:id="488"/>
      <w:bookmarkEnd w:id="489"/>
      <w:bookmarkEnd w:id="490"/>
      <w:bookmarkEnd w:id="491"/>
      <w:bookmarkEnd w:id="492"/>
    </w:p>
    <w:p w14:paraId="41341C67">
      <w:pPr>
        <w:pStyle w:val="3"/>
      </w:pPr>
      <w:bookmarkStart w:id="493" w:name="_Toc1589413545"/>
      <w:bookmarkStart w:id="494" w:name="_Toc1343373415"/>
      <w:bookmarkStart w:id="495" w:name="_Toc1902048269"/>
      <w:bookmarkStart w:id="496" w:name="_Toc1914330259"/>
      <w:bookmarkStart w:id="497" w:name="_Toc987901912"/>
      <w:bookmarkStart w:id="498" w:name="_Toc231665552"/>
      <w:bookmarkStart w:id="499" w:name="_Toc51398516"/>
      <w:bookmarkStart w:id="500" w:name="_Toc698861657"/>
      <w:bookmarkStart w:id="501" w:name="_Toc2079747927"/>
      <w:r>
        <w:t>10.1  一般规定</w:t>
      </w:r>
      <w:bookmarkEnd w:id="493"/>
      <w:bookmarkEnd w:id="494"/>
      <w:bookmarkEnd w:id="495"/>
      <w:bookmarkEnd w:id="496"/>
      <w:bookmarkEnd w:id="497"/>
      <w:bookmarkEnd w:id="498"/>
      <w:bookmarkEnd w:id="499"/>
      <w:bookmarkEnd w:id="500"/>
      <w:bookmarkEnd w:id="501"/>
    </w:p>
    <w:p w14:paraId="07327CFA">
      <w:pPr>
        <w:rPr>
          <w:rFonts w:ascii="Times New Roman" w:hAnsi="Times New Roman"/>
          <w:color w:val="000000" w:themeColor="text1"/>
          <w14:textFill>
            <w14:solidFill>
              <w14:schemeClr w14:val="tx1"/>
            </w14:solidFill>
          </w14:textFill>
        </w:rPr>
      </w:pPr>
      <w:r>
        <w:rPr>
          <w:rFonts w:ascii="Times New Roman" w:hAnsi="Times New Roman"/>
          <w:b/>
        </w:rPr>
        <w:t>10.1.1</w:t>
      </w:r>
      <w:r>
        <w:rPr>
          <w:rFonts w:ascii="Times New Roman" w:hAnsi="Times New Roman"/>
        </w:rPr>
        <w:t xml:space="preserve">  </w:t>
      </w:r>
      <w:r>
        <w:rPr>
          <w:rFonts w:ascii="Times New Roman" w:hAnsi="Times New Roman"/>
          <w:color w:val="000000" w:themeColor="text1"/>
          <w14:textFill>
            <w14:solidFill>
              <w14:schemeClr w14:val="tx1"/>
            </w14:solidFill>
          </w14:textFill>
        </w:rPr>
        <w:t>费用与支付管理应遵循合同约定，确保合同价款按节点及时足额支付。</w:t>
      </w:r>
    </w:p>
    <w:p w14:paraId="36F14954">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10.1.2</w:t>
      </w:r>
      <w:r>
        <w:rPr>
          <w:rFonts w:ascii="Times New Roman" w:hAnsi="Times New Roman"/>
          <w:color w:val="000000" w:themeColor="text1"/>
          <w14:textFill>
            <w14:solidFill>
              <w14:schemeClr w14:val="tx1"/>
            </w14:solidFill>
          </w14:textFill>
        </w:rPr>
        <w:t xml:space="preserve">  发包人应按合同约定的条件和期限支付价款，不得无故拖延或拒付。</w:t>
      </w:r>
    </w:p>
    <w:p w14:paraId="6196F26E">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10.1.3</w:t>
      </w:r>
      <w:r>
        <w:rPr>
          <w:rFonts w:ascii="Times New Roman" w:hAnsi="Times New Roman"/>
          <w:color w:val="000000" w:themeColor="text1"/>
          <w14:textFill>
            <w14:solidFill>
              <w14:schemeClr w14:val="tx1"/>
            </w14:solidFill>
          </w14:textFill>
        </w:rPr>
        <w:t xml:space="preserve">  承包人应按合同约定申报已完成工作成果，配合审核确认。</w:t>
      </w:r>
    </w:p>
    <w:p w14:paraId="76DF5AC5">
      <w:pPr>
        <w:pStyle w:val="3"/>
        <w:rPr>
          <w:color w:val="000000" w:themeColor="text1"/>
          <w14:textFill>
            <w14:solidFill>
              <w14:schemeClr w14:val="tx1"/>
            </w14:solidFill>
          </w14:textFill>
        </w:rPr>
      </w:pPr>
      <w:bookmarkStart w:id="502" w:name="_Toc2036637076"/>
      <w:bookmarkStart w:id="503" w:name="_Toc1298183611"/>
      <w:bookmarkStart w:id="504" w:name="_Toc231665553"/>
      <w:bookmarkStart w:id="505" w:name="_Toc789514176"/>
      <w:bookmarkStart w:id="506" w:name="_Toc524044"/>
      <w:bookmarkStart w:id="507" w:name="_Toc1037626804"/>
      <w:bookmarkStart w:id="508" w:name="_Toc1308650613"/>
      <w:bookmarkStart w:id="509" w:name="_Toc389651101"/>
      <w:bookmarkStart w:id="510" w:name="_Toc1123286329"/>
      <w:r>
        <w:rPr>
          <w:color w:val="000000" w:themeColor="text1"/>
          <w14:textFill>
            <w14:solidFill>
              <w14:schemeClr w14:val="tx1"/>
            </w14:solidFill>
          </w14:textFill>
        </w:rPr>
        <w:t>10.2  支付计划与申请</w:t>
      </w:r>
      <w:bookmarkEnd w:id="502"/>
      <w:bookmarkEnd w:id="503"/>
      <w:bookmarkEnd w:id="504"/>
      <w:bookmarkEnd w:id="505"/>
      <w:bookmarkEnd w:id="506"/>
      <w:bookmarkEnd w:id="507"/>
      <w:bookmarkEnd w:id="508"/>
      <w:bookmarkEnd w:id="509"/>
      <w:bookmarkEnd w:id="510"/>
    </w:p>
    <w:p w14:paraId="71AA3E96">
      <w:pP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10.2.1</w:t>
      </w:r>
      <w:r>
        <w:rPr>
          <w:rFonts w:ascii="Times New Roman" w:hAnsi="Times New Roman"/>
          <w:color w:val="000000" w:themeColor="text1"/>
          <w14:textFill>
            <w14:solidFill>
              <w14:schemeClr w14:val="tx1"/>
            </w14:solidFill>
          </w14:textFill>
        </w:rPr>
        <w:t xml:space="preserve">  发包人应根据合同约定和项目资金计划，明确各支付节点、支付条件和支付比例。</w:t>
      </w:r>
    </w:p>
    <w:p w14:paraId="2B2FE69F">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10.2.2</w:t>
      </w:r>
      <w:r>
        <w:rPr>
          <w:rFonts w:ascii="Times New Roman" w:hAnsi="Times New Roman"/>
          <w:color w:val="000000" w:themeColor="text1"/>
          <w14:textFill>
            <w14:solidFill>
              <w14:schemeClr w14:val="tx1"/>
            </w14:solidFill>
          </w14:textFill>
        </w:rPr>
        <w:t xml:space="preserve">  承包人应按合同约定的周期或节点提交支付申请，并附已完成工作成果的证明材料。</w:t>
      </w:r>
    </w:p>
    <w:p w14:paraId="67AF2B6A">
      <w:pPr>
        <w:pStyle w:val="3"/>
        <w:rPr>
          <w:color w:val="000000" w:themeColor="text1"/>
          <w14:textFill>
            <w14:solidFill>
              <w14:schemeClr w14:val="tx1"/>
            </w14:solidFill>
          </w14:textFill>
        </w:rPr>
      </w:pPr>
      <w:bookmarkStart w:id="511" w:name="_Toc94323977"/>
      <w:bookmarkStart w:id="512" w:name="_Toc1872209616"/>
      <w:bookmarkStart w:id="513" w:name="_Toc1280375510"/>
      <w:bookmarkStart w:id="514" w:name="_Toc62667285"/>
      <w:bookmarkStart w:id="515" w:name="_Toc231665554"/>
      <w:bookmarkStart w:id="516" w:name="_Toc779852532"/>
      <w:bookmarkStart w:id="517" w:name="_Toc1328731063"/>
      <w:bookmarkStart w:id="518" w:name="_Toc1204234339"/>
      <w:bookmarkStart w:id="519" w:name="_Toc1662023776"/>
      <w:r>
        <w:rPr>
          <w:color w:val="000000" w:themeColor="text1"/>
          <w14:textFill>
            <w14:solidFill>
              <w14:schemeClr w14:val="tx1"/>
            </w14:solidFill>
          </w14:textFill>
        </w:rPr>
        <w:t>10.3  支付审核</w:t>
      </w:r>
      <w:bookmarkEnd w:id="511"/>
      <w:bookmarkEnd w:id="512"/>
      <w:bookmarkEnd w:id="513"/>
      <w:bookmarkEnd w:id="514"/>
      <w:bookmarkEnd w:id="515"/>
      <w:bookmarkEnd w:id="516"/>
      <w:bookmarkEnd w:id="517"/>
      <w:bookmarkEnd w:id="518"/>
      <w:bookmarkEnd w:id="519"/>
    </w:p>
    <w:p w14:paraId="4621708D">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10.3.1</w:t>
      </w:r>
      <w:r>
        <w:rPr>
          <w:rFonts w:ascii="Times New Roman" w:hAnsi="Times New Roman"/>
          <w:color w:val="000000" w:themeColor="text1"/>
          <w14:textFill>
            <w14:solidFill>
              <w14:schemeClr w14:val="tx1"/>
            </w14:solidFill>
          </w14:textFill>
        </w:rPr>
        <w:t xml:space="preserve">  发包人收到支付申请后，应组织对申请材料进行审核，核实工作成果的完成情况和质量合格证明。</w:t>
      </w:r>
    </w:p>
    <w:p w14:paraId="0BE7B268">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10.3.2</w:t>
      </w:r>
      <w:r>
        <w:rPr>
          <w:rFonts w:ascii="Times New Roman" w:hAnsi="Times New Roman"/>
          <w:color w:val="000000" w:themeColor="text1"/>
          <w14:textFill>
            <w14:solidFill>
              <w14:schemeClr w14:val="tx1"/>
            </w14:solidFill>
          </w14:textFill>
        </w:rPr>
        <w:t xml:space="preserve">  审核通过的，发包人应在合同约定期限内完成内部审批并支付价款。</w:t>
      </w:r>
    </w:p>
    <w:p w14:paraId="52B409CF">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10.3.3</w:t>
      </w:r>
      <w:r>
        <w:rPr>
          <w:rFonts w:ascii="Times New Roman" w:hAnsi="Times New Roman"/>
          <w:color w:val="000000" w:themeColor="text1"/>
          <w14:textFill>
            <w14:solidFill>
              <w14:schemeClr w14:val="tx1"/>
            </w14:solidFill>
          </w14:textFill>
        </w:rPr>
        <w:t xml:space="preserve">  审核发现问题的，发包人应书面通知承包人补充材料或予以说明，暂缓支付相应款项。</w:t>
      </w:r>
    </w:p>
    <w:p w14:paraId="5FE935B8">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10.3.4</w:t>
      </w:r>
      <w:r>
        <w:rPr>
          <w:rFonts w:hint="eastAsia" w:ascii="Times New Roman" w:hAnsi="Times New Roman"/>
          <w:color w:val="000000" w:themeColor="text1"/>
          <w14:textFill>
            <w14:solidFill>
              <w14:schemeClr w14:val="tx1"/>
            </w14:solidFill>
          </w14:textFill>
        </w:rPr>
        <w:t xml:space="preserve">  施工项目发包人应按合同约定的工程预付款、进度款、竣工结算款和质量保证金的支付条件、支付比例和支付时限支付合同价款。人工费用（农民工工资）应从工程款中分账管理，单独拨付至农民工工资专用账户。</w:t>
      </w:r>
    </w:p>
    <w:p w14:paraId="10BEC6C9">
      <w:pPr>
        <w:pStyle w:val="3"/>
        <w:rPr>
          <w:color w:val="000000" w:themeColor="text1"/>
          <w14:textFill>
            <w14:solidFill>
              <w14:schemeClr w14:val="tx1"/>
            </w14:solidFill>
          </w14:textFill>
        </w:rPr>
      </w:pPr>
      <w:bookmarkStart w:id="520" w:name="_Toc1493107117"/>
      <w:bookmarkStart w:id="521" w:name="_Toc306336498"/>
      <w:bookmarkStart w:id="522" w:name="_Toc1033066614"/>
      <w:bookmarkStart w:id="523" w:name="_Toc2110563110"/>
      <w:bookmarkStart w:id="524" w:name="_Toc1225051853"/>
      <w:bookmarkStart w:id="525" w:name="_Toc1610194799"/>
      <w:bookmarkStart w:id="526" w:name="_Toc231665555"/>
      <w:bookmarkStart w:id="527" w:name="_Toc1790119416"/>
      <w:bookmarkStart w:id="528" w:name="_Toc2033566691"/>
      <w:r>
        <w:rPr>
          <w:color w:val="000000" w:themeColor="text1"/>
          <w14:textFill>
            <w14:solidFill>
              <w14:schemeClr w14:val="tx1"/>
            </w14:solidFill>
          </w14:textFill>
        </w:rPr>
        <w:t>10.4  合同变更管理</w:t>
      </w:r>
      <w:bookmarkEnd w:id="520"/>
      <w:bookmarkEnd w:id="521"/>
      <w:bookmarkEnd w:id="522"/>
      <w:bookmarkEnd w:id="523"/>
      <w:bookmarkEnd w:id="524"/>
      <w:bookmarkEnd w:id="525"/>
      <w:bookmarkEnd w:id="526"/>
      <w:bookmarkEnd w:id="527"/>
      <w:bookmarkEnd w:id="528"/>
    </w:p>
    <w:p w14:paraId="01DCD8ED">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10.4.1</w:t>
      </w:r>
      <w:r>
        <w:rPr>
          <w:rFonts w:ascii="Times New Roman" w:hAnsi="Times New Roman"/>
          <w:color w:val="000000" w:themeColor="text1"/>
          <w14:textFill>
            <w14:solidFill>
              <w14:schemeClr w14:val="tx1"/>
            </w14:solidFill>
          </w14:textFill>
        </w:rPr>
        <w:t xml:space="preserve">  合同履行中需变更合同内容的，应经双方协商一致，签订书面补充协议。</w:t>
      </w:r>
    </w:p>
    <w:p w14:paraId="107AAFA7">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10.4.2</w:t>
      </w:r>
      <w:r>
        <w:rPr>
          <w:rFonts w:ascii="Times New Roman" w:hAnsi="Times New Roman"/>
          <w:color w:val="000000" w:themeColor="text1"/>
          <w14:textFill>
            <w14:solidFill>
              <w14:schemeClr w14:val="tx1"/>
            </w14:solidFill>
          </w14:textFill>
        </w:rPr>
        <w:t xml:space="preserve">  补充协议应明确变更内容对合同价款、履约期限的影响。</w:t>
      </w:r>
    </w:p>
    <w:p w14:paraId="4DB14BF2">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10.4.3</w:t>
      </w:r>
      <w:r>
        <w:rPr>
          <w:rFonts w:ascii="Times New Roman" w:hAnsi="Times New Roman"/>
          <w:color w:val="000000" w:themeColor="text1"/>
          <w14:textFill>
            <w14:solidFill>
              <w14:schemeClr w14:val="tx1"/>
            </w14:solidFill>
          </w14:textFill>
        </w:rPr>
        <w:t xml:space="preserve">  发包人应建立变更管理台账，对变更事项进行登记、跟踪和归档。</w:t>
      </w:r>
    </w:p>
    <w:p w14:paraId="25BB6F30">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10.4.4</w:t>
      </w:r>
      <w:r>
        <w:rPr>
          <w:rFonts w:ascii="Times New Roman" w:hAnsi="Times New Roman"/>
          <w:color w:val="000000" w:themeColor="text1"/>
          <w14:textFill>
            <w14:solidFill>
              <w14:schemeClr w14:val="tx1"/>
            </w14:solidFill>
          </w14:textFill>
        </w:rPr>
        <w:t xml:space="preserve">  承包人要求变更合同金额超过中标合同金额10%，或者拟分包金额超过招标文件约定分包金额10%的，发包人要组织力量对履约情况进行全面审核，充分研究论证合同变更的必要性和合规性。</w:t>
      </w:r>
    </w:p>
    <w:p w14:paraId="22A549F9">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10.4.</w:t>
      </w:r>
      <w:r>
        <w:rPr>
          <w:rFonts w:hint="eastAsia" w:ascii="Times New Roman" w:hAnsi="Times New Roman"/>
          <w:b/>
          <w:bCs/>
          <w:color w:val="000000" w:themeColor="text1"/>
          <w14:textFill>
            <w14:solidFill>
              <w14:schemeClr w14:val="tx1"/>
            </w14:solidFill>
          </w14:textFill>
        </w:rPr>
        <w:t>5</w:t>
      </w:r>
      <w:r>
        <w:rPr>
          <w:rFonts w:hint="eastAsia" w:ascii="Times New Roman" w:hAnsi="Times New Roman"/>
          <w:color w:val="000000" w:themeColor="text1"/>
          <w:lang w:val="en-US" w:eastAsia="zh-CN"/>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施工项目</w:t>
      </w:r>
      <w:r>
        <w:rPr>
          <w:rFonts w:ascii="Times New Roman" w:hAnsi="Times New Roman"/>
          <w:color w:val="000000" w:themeColor="text1"/>
          <w14:textFill>
            <w14:solidFill>
              <w14:schemeClr w14:val="tx1"/>
            </w14:solidFill>
          </w14:textFill>
        </w:rPr>
        <w:t>发包人应建立工程变更管理制度，明确变更的提出、评估、审批、实施的程序和权限。</w:t>
      </w:r>
    </w:p>
    <w:p w14:paraId="3A139E83">
      <w:pPr>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施工</w:t>
      </w:r>
      <w:r>
        <w:rPr>
          <w:rFonts w:hint="eastAsia" w:ascii="Times New Roman" w:hAnsi="Times New Roman"/>
          <w:color w:val="000000" w:themeColor="text1"/>
          <w14:textFill>
            <w14:solidFill>
              <w14:schemeClr w14:val="tx1"/>
            </w14:solidFill>
          </w14:textFill>
        </w:rPr>
        <w:t>项目</w:t>
      </w:r>
      <w:r>
        <w:rPr>
          <w:rFonts w:ascii="Times New Roman" w:hAnsi="Times New Roman"/>
          <w:color w:val="000000" w:themeColor="text1"/>
          <w14:textFill>
            <w14:solidFill>
              <w14:schemeClr w14:val="tx1"/>
            </w14:solidFill>
          </w14:textFill>
        </w:rPr>
        <w:t>的变更包括合同主体与法律关系变更、价格与支付条款变更、技术标准与质量要求变更、设计变更、施工方案变更、工程量变更、工期变更、现场签证、特殊情形变更等。</w:t>
      </w:r>
    </w:p>
    <w:p w14:paraId="1DB4E541">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10.4.6</w:t>
      </w:r>
      <w:r>
        <w:rPr>
          <w:rFonts w:hint="eastAsia" w:ascii="Times New Roman" w:hAnsi="Times New Roman"/>
          <w:color w:val="000000" w:themeColor="text1"/>
          <w14:textFill>
            <w14:solidFill>
              <w14:schemeClr w14:val="tx1"/>
            </w14:solidFill>
          </w14:textFill>
        </w:rPr>
        <w:t xml:space="preserve">  工程总承包项目发包人应比对经审查的承包人建议书，对工程实施过程中的书面变更申请进行识别，区分变更、优化设计、深化设计、设计优化的不同情形。</w:t>
      </w:r>
    </w:p>
    <w:p w14:paraId="3FCBA40A">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10.4.7</w:t>
      </w:r>
      <w:r>
        <w:rPr>
          <w:rFonts w:hint="eastAsia" w:ascii="Times New Roman" w:hAnsi="Times New Roman"/>
          <w:color w:val="000000" w:themeColor="text1"/>
          <w14:textFill>
            <w14:solidFill>
              <w14:schemeClr w14:val="tx1"/>
            </w14:solidFill>
          </w14:textFill>
        </w:rPr>
        <w:t xml:space="preserve">  工程总承包项目变更可能对设计、采购、施工产生连锁影响，发包人应要求承包人在变更建议中全面评估。</w:t>
      </w:r>
    </w:p>
    <w:p w14:paraId="0260DAAB">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 xml:space="preserve">10.4.8  </w:t>
      </w:r>
      <w:r>
        <w:rPr>
          <w:rFonts w:hint="eastAsia" w:ascii="Times New Roman" w:hAnsi="Times New Roman"/>
          <w:color w:val="000000" w:themeColor="text1"/>
          <w14:textFill>
            <w14:solidFill>
              <w14:schemeClr w14:val="tx1"/>
            </w14:solidFill>
          </w14:textFill>
        </w:rPr>
        <w:t>工程总承包项目发包人提出对《发包人要求》的变更，应评估变更对设计、采购、施工、工期、费用的影响，协商确定变更费用和工期调整。</w:t>
      </w:r>
    </w:p>
    <w:p w14:paraId="58B18D17">
      <w:pPr>
        <w:pStyle w:val="3"/>
        <w:rPr>
          <w:color w:val="000000" w:themeColor="text1"/>
          <w14:textFill>
            <w14:solidFill>
              <w14:schemeClr w14:val="tx1"/>
            </w14:solidFill>
          </w14:textFill>
        </w:rPr>
      </w:pPr>
      <w:bookmarkStart w:id="529" w:name="_Toc1253207952"/>
      <w:bookmarkStart w:id="530" w:name="_Toc845165927"/>
      <w:bookmarkStart w:id="531" w:name="_Toc1797886475"/>
      <w:bookmarkStart w:id="532" w:name="_Toc1878727838"/>
      <w:bookmarkStart w:id="533" w:name="_Toc718234777"/>
      <w:bookmarkStart w:id="534" w:name="_Toc1934694613"/>
      <w:bookmarkStart w:id="535" w:name="_Toc1203777593"/>
      <w:bookmarkStart w:id="536" w:name="_Toc469930513"/>
      <w:bookmarkStart w:id="537" w:name="_Toc231665556"/>
      <w:r>
        <w:rPr>
          <w:color w:val="000000" w:themeColor="text1"/>
          <w14:textFill>
            <w14:solidFill>
              <w14:schemeClr w14:val="tx1"/>
            </w14:solidFill>
          </w14:textFill>
        </w:rPr>
        <w:t>10.5  预付款管理</w:t>
      </w:r>
      <w:bookmarkEnd w:id="529"/>
      <w:bookmarkEnd w:id="530"/>
      <w:bookmarkEnd w:id="531"/>
      <w:bookmarkEnd w:id="532"/>
      <w:bookmarkEnd w:id="533"/>
      <w:bookmarkEnd w:id="534"/>
      <w:bookmarkEnd w:id="535"/>
      <w:bookmarkEnd w:id="536"/>
      <w:bookmarkEnd w:id="537"/>
    </w:p>
    <w:p w14:paraId="2E7E8353">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10.5.1</w:t>
      </w:r>
      <w:r>
        <w:rPr>
          <w:rFonts w:ascii="Times New Roman" w:hAnsi="Times New Roman"/>
          <w:color w:val="000000" w:themeColor="text1"/>
          <w14:textFill>
            <w14:solidFill>
              <w14:schemeClr w14:val="tx1"/>
            </w14:solidFill>
          </w14:textFill>
        </w:rPr>
        <w:t xml:space="preserve">  发包人应按合同约定支付预付款，并核查预付款的使用情况，确保专款专用。</w:t>
      </w:r>
    </w:p>
    <w:p w14:paraId="4680DB12">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10.5.2</w:t>
      </w:r>
      <w:r>
        <w:rPr>
          <w:rFonts w:ascii="Times New Roman" w:hAnsi="Times New Roman"/>
          <w:color w:val="000000" w:themeColor="text1"/>
          <w14:textFill>
            <w14:solidFill>
              <w14:schemeClr w14:val="tx1"/>
            </w14:solidFill>
          </w14:textFill>
        </w:rPr>
        <w:t xml:space="preserve">  预付款应按合同约定的方式和比例在进度款中分期扣回。</w:t>
      </w:r>
    </w:p>
    <w:p w14:paraId="58612C29">
      <w:pPr>
        <w:pStyle w:val="3"/>
        <w:rPr>
          <w:color w:val="000000" w:themeColor="text1"/>
          <w14:textFill>
            <w14:solidFill>
              <w14:schemeClr w14:val="tx1"/>
            </w14:solidFill>
          </w14:textFill>
        </w:rPr>
      </w:pPr>
      <w:bookmarkStart w:id="538" w:name="_Toc30955228"/>
      <w:bookmarkStart w:id="539" w:name="_Toc1177057423"/>
      <w:bookmarkStart w:id="540" w:name="_Toc1846145974"/>
      <w:bookmarkStart w:id="541" w:name="_Toc534760775"/>
      <w:bookmarkStart w:id="542" w:name="_Toc1076999899"/>
      <w:bookmarkStart w:id="543" w:name="_Toc1994308751"/>
      <w:bookmarkStart w:id="544" w:name="_Toc980626639"/>
      <w:bookmarkStart w:id="545" w:name="_Toc29373344"/>
      <w:bookmarkStart w:id="546" w:name="_Toc231665557"/>
      <w:r>
        <w:rPr>
          <w:color w:val="000000" w:themeColor="text1"/>
          <w14:textFill>
            <w14:solidFill>
              <w14:schemeClr w14:val="tx1"/>
            </w14:solidFill>
          </w14:textFill>
        </w:rPr>
        <w:t>10.6  费用索赔管理</w:t>
      </w:r>
      <w:bookmarkEnd w:id="538"/>
      <w:bookmarkEnd w:id="539"/>
      <w:bookmarkEnd w:id="540"/>
      <w:bookmarkEnd w:id="541"/>
      <w:bookmarkEnd w:id="542"/>
      <w:bookmarkEnd w:id="543"/>
      <w:bookmarkEnd w:id="544"/>
      <w:bookmarkEnd w:id="545"/>
      <w:bookmarkEnd w:id="546"/>
    </w:p>
    <w:p w14:paraId="22E80CF1">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10.6.1</w:t>
      </w:r>
      <w:r>
        <w:rPr>
          <w:rFonts w:ascii="Times New Roman" w:hAnsi="Times New Roman"/>
          <w:color w:val="000000" w:themeColor="text1"/>
          <w14:textFill>
            <w14:solidFill>
              <w14:schemeClr w14:val="tx1"/>
            </w14:solidFill>
          </w14:textFill>
        </w:rPr>
        <w:t xml:space="preserve">  因发包人原因、不可抗力或第三方原因导致承包人产生额外费用或工期延误的，承包人可按合同约定提出索赔。</w:t>
      </w:r>
    </w:p>
    <w:p w14:paraId="3B45508B">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10.6.2</w:t>
      </w:r>
      <w:r>
        <w:rPr>
          <w:rFonts w:ascii="Times New Roman" w:hAnsi="Times New Roman"/>
          <w:color w:val="000000" w:themeColor="text1"/>
          <w14:textFill>
            <w14:solidFill>
              <w14:schemeClr w14:val="tx1"/>
            </w14:solidFill>
          </w14:textFill>
        </w:rPr>
        <w:t xml:space="preserve">  发包人收到</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索赔申请后，应组织审核索赔依据和金额，双方协商一致后签订索赔确认文件并支付。</w:t>
      </w:r>
    </w:p>
    <w:p w14:paraId="6D2FB9E9">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10.6.3</w:t>
      </w:r>
      <w:r>
        <w:rPr>
          <w:rFonts w:ascii="Times New Roman" w:hAnsi="Times New Roman"/>
          <w:color w:val="000000" w:themeColor="text1"/>
          <w14:textFill>
            <w14:solidFill>
              <w14:schemeClr w14:val="tx1"/>
            </w14:solidFill>
          </w14:textFill>
        </w:rPr>
        <w:t xml:space="preserve">  协商不成的，按合同约定的争议解决方式处理。索赔处理记录应纳入履约过程记录。</w:t>
      </w:r>
    </w:p>
    <w:p w14:paraId="5AFC228B">
      <w:pPr>
        <w:pStyle w:val="3"/>
        <w:rPr>
          <w:color w:val="000000" w:themeColor="text1"/>
          <w14:textFill>
            <w14:solidFill>
              <w14:schemeClr w14:val="tx1"/>
            </w14:solidFill>
          </w14:textFill>
        </w:rPr>
      </w:pPr>
      <w:bookmarkStart w:id="547" w:name="_Toc1457921481"/>
      <w:bookmarkStart w:id="548" w:name="_Toc1503444373"/>
      <w:bookmarkStart w:id="549" w:name="_Toc1737464320"/>
      <w:bookmarkStart w:id="550" w:name="_Toc1439615007"/>
      <w:bookmarkStart w:id="551" w:name="_Toc2016249702"/>
      <w:bookmarkStart w:id="552" w:name="_Toc2087965038"/>
      <w:bookmarkStart w:id="553" w:name="_Toc231665558"/>
      <w:bookmarkStart w:id="554" w:name="_Toc1606101100"/>
      <w:bookmarkStart w:id="555" w:name="_Toc596110275"/>
      <w:r>
        <w:rPr>
          <w:color w:val="000000" w:themeColor="text1"/>
          <w14:textFill>
            <w14:solidFill>
              <w14:schemeClr w14:val="tx1"/>
            </w14:solidFill>
          </w14:textFill>
        </w:rPr>
        <w:t>10.7  结算管理</w:t>
      </w:r>
      <w:bookmarkEnd w:id="547"/>
      <w:bookmarkEnd w:id="548"/>
      <w:bookmarkEnd w:id="549"/>
      <w:bookmarkEnd w:id="550"/>
      <w:bookmarkEnd w:id="551"/>
      <w:bookmarkEnd w:id="552"/>
      <w:bookmarkEnd w:id="553"/>
      <w:bookmarkEnd w:id="554"/>
      <w:bookmarkEnd w:id="555"/>
    </w:p>
    <w:p w14:paraId="15C614ED">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10.7.1</w:t>
      </w:r>
      <w:r>
        <w:rPr>
          <w:rFonts w:ascii="Times New Roman" w:hAnsi="Times New Roman"/>
          <w:color w:val="000000" w:themeColor="text1"/>
          <w14:textFill>
            <w14:solidFill>
              <w14:schemeClr w14:val="tx1"/>
            </w14:solidFill>
          </w14:textFill>
        </w:rPr>
        <w:t xml:space="preserve">  合同工作全部完成后，承包人应编制结算书，提交完整的结算资料。</w:t>
      </w:r>
    </w:p>
    <w:p w14:paraId="6B1D872F">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10.7.2</w:t>
      </w:r>
      <w:r>
        <w:rPr>
          <w:rFonts w:ascii="Times New Roman" w:hAnsi="Times New Roman"/>
          <w:color w:val="000000" w:themeColor="text1"/>
          <w14:textFill>
            <w14:solidFill>
              <w14:schemeClr w14:val="tx1"/>
            </w14:solidFill>
          </w14:textFill>
        </w:rPr>
        <w:t xml:space="preserve">  发包人收到结算资料后，应组织结算审核。</w:t>
      </w:r>
      <w:r>
        <w:rPr>
          <w:rFonts w:hint="eastAsia" w:ascii="Times New Roman" w:hAnsi="Times New Roman"/>
          <w:color w:val="000000" w:themeColor="text1"/>
          <w14:textFill>
            <w14:solidFill>
              <w14:schemeClr w14:val="tx1"/>
            </w14:solidFill>
          </w14:textFill>
        </w:rPr>
        <w:t>结算审核应以履约验收报告为依据，核减报告中列明的违约金、赔偿金等应扣款项。如有结算争议，双方应就无争议部分应及时办理结算手续；争议部分可协商解决或按合同约定提请争议评审或采取合同约定的其他争议解决方式。</w:t>
      </w:r>
    </w:p>
    <w:p w14:paraId="66D81407">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10.7.3</w:t>
      </w:r>
      <w:r>
        <w:rPr>
          <w:rFonts w:ascii="Times New Roman" w:hAnsi="Times New Roman"/>
          <w:color w:val="000000" w:themeColor="text1"/>
          <w14:textFill>
            <w14:solidFill>
              <w14:schemeClr w14:val="tx1"/>
            </w14:solidFill>
          </w14:textFill>
        </w:rPr>
        <w:t xml:space="preserve">  最终支付应在履约验收完成、结算审核确认后进行。</w:t>
      </w:r>
    </w:p>
    <w:p w14:paraId="0A85376C">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10.7.4</w:t>
      </w:r>
      <w:r>
        <w:rPr>
          <w:rFonts w:ascii="Times New Roman" w:hAnsi="Times New Roman"/>
          <w:color w:val="000000" w:themeColor="text1"/>
          <w14:textFill>
            <w14:solidFill>
              <w14:schemeClr w14:val="tx1"/>
            </w14:solidFill>
          </w14:textFill>
        </w:rPr>
        <w:t xml:space="preserve">  结算审核记录、支付凭证等相关资料应归档保存。</w:t>
      </w:r>
    </w:p>
    <w:p w14:paraId="33ABECC6">
      <w:pPr>
        <w:pStyle w:val="3"/>
        <w:rPr>
          <w:color w:val="000000" w:themeColor="text1"/>
          <w14:textFill>
            <w14:solidFill>
              <w14:schemeClr w14:val="tx1"/>
            </w14:solidFill>
          </w14:textFill>
        </w:rPr>
      </w:pPr>
      <w:bookmarkStart w:id="556" w:name="_Toc324627592"/>
      <w:bookmarkStart w:id="557" w:name="_Toc1442355168"/>
      <w:bookmarkStart w:id="558" w:name="_Toc502540087"/>
      <w:bookmarkStart w:id="559" w:name="_Toc1017930335"/>
      <w:bookmarkStart w:id="560" w:name="_Toc1874336748"/>
      <w:bookmarkStart w:id="561" w:name="_Toc57954432"/>
      <w:bookmarkStart w:id="562" w:name="_Toc2110805098"/>
      <w:bookmarkStart w:id="563" w:name="_Toc500834480"/>
      <w:bookmarkStart w:id="564" w:name="_Toc231665559"/>
      <w:r>
        <w:rPr>
          <w:color w:val="000000" w:themeColor="text1"/>
          <w14:textFill>
            <w14:solidFill>
              <w14:schemeClr w14:val="tx1"/>
            </w14:solidFill>
          </w14:textFill>
        </w:rPr>
        <w:t>10.8  违约金与保证金管理</w:t>
      </w:r>
      <w:bookmarkEnd w:id="556"/>
      <w:bookmarkEnd w:id="557"/>
      <w:bookmarkEnd w:id="558"/>
      <w:bookmarkEnd w:id="559"/>
      <w:bookmarkEnd w:id="560"/>
      <w:bookmarkEnd w:id="561"/>
      <w:bookmarkEnd w:id="562"/>
      <w:bookmarkEnd w:id="563"/>
      <w:bookmarkEnd w:id="564"/>
    </w:p>
    <w:p w14:paraId="65A726CB">
      <w:pPr>
        <w:rPr>
          <w:rFonts w:ascii="Times New Roman" w:hAnsi="Times New Roman"/>
        </w:rPr>
      </w:pPr>
      <w:r>
        <w:rPr>
          <w:rFonts w:ascii="Times New Roman" w:hAnsi="Times New Roman"/>
          <w:b/>
          <w:color w:val="000000" w:themeColor="text1"/>
          <w14:textFill>
            <w14:solidFill>
              <w14:schemeClr w14:val="tx1"/>
            </w14:solidFill>
          </w14:textFill>
        </w:rPr>
        <w:t>10.8.1</w:t>
      </w:r>
      <w:r>
        <w:rPr>
          <w:rFonts w:ascii="Times New Roman" w:hAnsi="Times New Roman"/>
          <w:color w:val="000000" w:themeColor="text1"/>
          <w14:textFill>
            <w14:solidFill>
              <w14:schemeClr w14:val="tx1"/>
            </w14:solidFill>
          </w14:textFill>
        </w:rPr>
        <w:t xml:space="preserve">  发包人应在合同中明确各类违约情形（如人员擅自更换、工期延误、质量不合格等）对应的违约金计算标准或损失赔偿计算方法，作为履约验收与结算</w:t>
      </w:r>
      <w:r>
        <w:rPr>
          <w:rFonts w:ascii="Times New Roman" w:hAnsi="Times New Roman"/>
        </w:rPr>
        <w:t>联动的依据。</w:t>
      </w:r>
    </w:p>
    <w:p w14:paraId="588822CB">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10.8.2</w:t>
      </w:r>
      <w:r>
        <w:rPr>
          <w:rFonts w:ascii="Times New Roman" w:hAnsi="Times New Roman"/>
          <w:color w:val="000000" w:themeColor="text1"/>
          <w14:textFill>
            <w14:solidFill>
              <w14:schemeClr w14:val="tx1"/>
            </w14:solidFill>
          </w14:textFill>
        </w:rPr>
        <w:t xml:space="preserve">  承包人发生违约行为的，发包人应按合同约定核算违约金或损失赔偿金额。</w:t>
      </w:r>
    </w:p>
    <w:p w14:paraId="79ABB8E8">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10.8.3</w:t>
      </w:r>
      <w:r>
        <w:rPr>
          <w:rFonts w:ascii="Times New Roman" w:hAnsi="Times New Roman"/>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发包人应按照规定向承包人提供工程款支付担保，担保金额和期限应符合国家及地方有关规定。</w:t>
      </w:r>
    </w:p>
    <w:p w14:paraId="4BE1A374">
      <w:pPr>
        <w:pStyle w:val="2"/>
      </w:pPr>
      <w:r>
        <w:br w:type="page"/>
      </w:r>
      <w:bookmarkStart w:id="565" w:name="_Toc487278088"/>
      <w:bookmarkStart w:id="566" w:name="_Toc981098132"/>
      <w:bookmarkStart w:id="567" w:name="_Toc231665560"/>
      <w:bookmarkStart w:id="568" w:name="_Toc403814233"/>
      <w:bookmarkStart w:id="569" w:name="_Toc1463612516"/>
      <w:bookmarkStart w:id="570" w:name="_Toc1841427876"/>
      <w:bookmarkStart w:id="571" w:name="_Toc915967406"/>
      <w:bookmarkStart w:id="572" w:name="_Toc816576539"/>
      <w:bookmarkStart w:id="573" w:name="_Toc1425875515"/>
      <w:r>
        <w:t>11  履约验收管理</w:t>
      </w:r>
      <w:bookmarkEnd w:id="565"/>
      <w:bookmarkEnd w:id="566"/>
      <w:bookmarkEnd w:id="567"/>
      <w:bookmarkEnd w:id="568"/>
      <w:bookmarkEnd w:id="569"/>
      <w:bookmarkEnd w:id="570"/>
      <w:bookmarkEnd w:id="571"/>
      <w:bookmarkEnd w:id="572"/>
      <w:bookmarkEnd w:id="573"/>
    </w:p>
    <w:p w14:paraId="2A4866B1">
      <w:pPr>
        <w:pStyle w:val="3"/>
      </w:pPr>
      <w:bookmarkStart w:id="574" w:name="_Toc835459998"/>
      <w:bookmarkStart w:id="575" w:name="_Toc1501460857"/>
      <w:bookmarkStart w:id="576" w:name="_Toc231665561"/>
      <w:bookmarkStart w:id="577" w:name="_Toc684181487"/>
      <w:bookmarkStart w:id="578" w:name="_Toc665969308"/>
      <w:bookmarkStart w:id="579" w:name="_Toc1279469988"/>
      <w:bookmarkStart w:id="580" w:name="_Toc980256891"/>
      <w:bookmarkStart w:id="581" w:name="_Toc187218226"/>
      <w:bookmarkStart w:id="582" w:name="_Toc793727336"/>
      <w:r>
        <w:t>11.1  一般规定</w:t>
      </w:r>
      <w:bookmarkEnd w:id="574"/>
      <w:bookmarkEnd w:id="575"/>
      <w:bookmarkEnd w:id="576"/>
      <w:bookmarkEnd w:id="577"/>
      <w:bookmarkEnd w:id="578"/>
      <w:bookmarkEnd w:id="579"/>
      <w:bookmarkEnd w:id="580"/>
      <w:bookmarkEnd w:id="581"/>
      <w:bookmarkEnd w:id="582"/>
    </w:p>
    <w:p w14:paraId="36986E11">
      <w:pPr>
        <w:rPr>
          <w:rFonts w:ascii="Times New Roman" w:hAnsi="Times New Roman"/>
        </w:rPr>
      </w:pPr>
      <w:r>
        <w:rPr>
          <w:rFonts w:ascii="Times New Roman" w:hAnsi="Times New Roman"/>
          <w:b/>
        </w:rPr>
        <w:t>11.1.1</w:t>
      </w:r>
      <w:r>
        <w:rPr>
          <w:rFonts w:ascii="Times New Roman" w:hAnsi="Times New Roman"/>
        </w:rPr>
        <w:t xml:space="preserve">  履约验收应遵循客观公正、证据充分、程序规范、结论明确的原则。</w:t>
      </w:r>
    </w:p>
    <w:p w14:paraId="10C34CE2">
      <w:pPr>
        <w:rPr>
          <w:rFonts w:ascii="Times New Roman" w:hAnsi="Times New Roman"/>
        </w:rPr>
      </w:pPr>
      <w:r>
        <w:rPr>
          <w:rFonts w:ascii="Times New Roman" w:hAnsi="Times New Roman"/>
          <w:b/>
        </w:rPr>
        <w:t>11.1.2</w:t>
      </w:r>
      <w:r>
        <w:rPr>
          <w:rFonts w:ascii="Times New Roman" w:hAnsi="Times New Roman"/>
        </w:rPr>
        <w:t xml:space="preserve">  发包人是履约验收的责任主体，负责组织验收工作并确认验收结论。发包人可委托第三方机构组织验收。</w:t>
      </w:r>
    </w:p>
    <w:p w14:paraId="2F693140">
      <w:pPr>
        <w:rPr>
          <w:rFonts w:ascii="Times New Roman" w:hAnsi="Times New Roman"/>
        </w:rPr>
      </w:pPr>
      <w:r>
        <w:rPr>
          <w:rFonts w:ascii="Times New Roman" w:hAnsi="Times New Roman"/>
          <w:b/>
        </w:rPr>
        <w:t>11.1.3</w:t>
      </w:r>
      <w:r>
        <w:rPr>
          <w:rFonts w:ascii="Times New Roman" w:hAnsi="Times New Roman"/>
        </w:rPr>
        <w:t xml:space="preserve">  履约验收应包括以下内容：</w:t>
      </w:r>
    </w:p>
    <w:p w14:paraId="71933219">
      <w:pPr>
        <w:ind w:firstLine="420"/>
        <w:rPr>
          <w:rFonts w:ascii="Times New Roman" w:hAnsi="Times New Roman"/>
        </w:rPr>
      </w:pPr>
      <w:r>
        <w:rPr>
          <w:rFonts w:ascii="Times New Roman" w:hAnsi="Times New Roman"/>
        </w:rPr>
        <w:t>1  对履约清单所列各项履约义务完成情况的逐项核查；</w:t>
      </w:r>
    </w:p>
    <w:p w14:paraId="36F5DEB8">
      <w:pPr>
        <w:ind w:firstLine="420"/>
        <w:rPr>
          <w:rFonts w:ascii="Times New Roman" w:hAnsi="Times New Roman"/>
        </w:rPr>
      </w:pPr>
      <w:r>
        <w:rPr>
          <w:rFonts w:ascii="Times New Roman" w:hAnsi="Times New Roman"/>
        </w:rPr>
        <w:t>2  对合同履行全过程中形成的检查记录、整改记录、违约记录的汇总审查；</w:t>
      </w:r>
    </w:p>
    <w:p w14:paraId="116E1994">
      <w:pPr>
        <w:ind w:firstLine="420"/>
        <w:rPr>
          <w:rFonts w:ascii="Times New Roman" w:hAnsi="Times New Roman"/>
        </w:rPr>
      </w:pPr>
      <w:r>
        <w:rPr>
          <w:rFonts w:ascii="Times New Roman" w:hAnsi="Times New Roman"/>
        </w:rPr>
        <w:t>3  对最终交付成果是否符合合同约定的质量标准和验收条件的检验。</w:t>
      </w:r>
    </w:p>
    <w:p w14:paraId="47D80959">
      <w:pPr>
        <w:rPr>
          <w:rFonts w:ascii="Times New Roman" w:hAnsi="Times New Roman"/>
        </w:rPr>
      </w:pPr>
      <w:r>
        <w:rPr>
          <w:rFonts w:ascii="Times New Roman" w:hAnsi="Times New Roman"/>
          <w:b/>
        </w:rPr>
        <w:t>11.1.4</w:t>
      </w:r>
      <w:r>
        <w:rPr>
          <w:rFonts w:ascii="Times New Roman" w:hAnsi="Times New Roman"/>
        </w:rPr>
        <w:t xml:space="preserve">  履约验收报告应作为合同结算的必要依据。合同中约定的违约金、赔偿金等款项，应依据履约验收报告中的过程问题记录进行核算与扣除。</w:t>
      </w:r>
    </w:p>
    <w:p w14:paraId="45EB7938">
      <w:pPr>
        <w:pStyle w:val="3"/>
      </w:pPr>
      <w:bookmarkStart w:id="583" w:name="_Toc352640363"/>
      <w:bookmarkStart w:id="584" w:name="_Toc231665562"/>
      <w:bookmarkStart w:id="585" w:name="_Toc90649369"/>
      <w:bookmarkStart w:id="586" w:name="_Toc85541457"/>
      <w:bookmarkStart w:id="587" w:name="_Toc1114727274"/>
      <w:bookmarkStart w:id="588" w:name="_Toc1715838311"/>
      <w:bookmarkStart w:id="589" w:name="_Toc130332573"/>
      <w:bookmarkStart w:id="590" w:name="_Toc1337626166"/>
      <w:bookmarkStart w:id="591" w:name="_Toc708440718"/>
      <w:r>
        <w:t>11.2  验收依据与标准</w:t>
      </w:r>
      <w:bookmarkEnd w:id="583"/>
      <w:bookmarkEnd w:id="584"/>
      <w:bookmarkEnd w:id="585"/>
      <w:bookmarkEnd w:id="586"/>
      <w:bookmarkEnd w:id="587"/>
      <w:bookmarkEnd w:id="588"/>
      <w:bookmarkEnd w:id="589"/>
      <w:bookmarkEnd w:id="590"/>
      <w:bookmarkEnd w:id="591"/>
    </w:p>
    <w:p w14:paraId="759623AB">
      <w:pPr>
        <w:rPr>
          <w:rFonts w:ascii="Times New Roman" w:hAnsi="Times New Roman"/>
        </w:rPr>
      </w:pPr>
      <w:r>
        <w:rPr>
          <w:rFonts w:ascii="Times New Roman" w:hAnsi="Times New Roman"/>
          <w:b/>
        </w:rPr>
        <w:t>11.2.1</w:t>
      </w:r>
      <w:r>
        <w:rPr>
          <w:rFonts w:ascii="Times New Roman" w:hAnsi="Times New Roman"/>
        </w:rPr>
        <w:t xml:space="preserve">  履约验收的主要依据包括：</w:t>
      </w:r>
    </w:p>
    <w:p w14:paraId="1BE35E85">
      <w:pPr>
        <w:ind w:firstLine="420"/>
        <w:rPr>
          <w:rFonts w:ascii="Times New Roman" w:hAnsi="Times New Roman"/>
        </w:rPr>
      </w:pPr>
      <w:r>
        <w:rPr>
          <w:rFonts w:ascii="Times New Roman" w:hAnsi="Times New Roman"/>
        </w:rPr>
        <w:t>1  合同文件及补充协议；</w:t>
      </w:r>
    </w:p>
    <w:p w14:paraId="7CADD07B">
      <w:pPr>
        <w:ind w:firstLine="420"/>
        <w:rPr>
          <w:rFonts w:ascii="Times New Roman" w:hAnsi="Times New Roman"/>
        </w:rPr>
      </w:pPr>
      <w:r>
        <w:rPr>
          <w:rFonts w:ascii="Times New Roman" w:hAnsi="Times New Roman"/>
        </w:rPr>
        <w:t>2  招标文件、投标文件及中标通知书；</w:t>
      </w:r>
    </w:p>
    <w:p w14:paraId="3323F96B">
      <w:pPr>
        <w:ind w:firstLine="420"/>
        <w:rPr>
          <w:rFonts w:ascii="Times New Roman" w:hAnsi="Times New Roman"/>
        </w:rPr>
      </w:pPr>
      <w:r>
        <w:rPr>
          <w:rFonts w:ascii="Times New Roman" w:hAnsi="Times New Roman"/>
        </w:rPr>
        <w:t>3  经双方确认的履约清单；</w:t>
      </w:r>
    </w:p>
    <w:p w14:paraId="062445BB">
      <w:pPr>
        <w:ind w:firstLine="420"/>
        <w:rPr>
          <w:rFonts w:ascii="Times New Roman" w:hAnsi="Times New Roman"/>
        </w:rPr>
      </w:pPr>
      <w:r>
        <w:rPr>
          <w:rFonts w:ascii="Times New Roman" w:hAnsi="Times New Roman"/>
        </w:rPr>
        <w:t>4  国家及行业现行标准、规范；</w:t>
      </w:r>
    </w:p>
    <w:p w14:paraId="3893D1D4">
      <w:pPr>
        <w:ind w:firstLine="420"/>
        <w:rPr>
          <w:rFonts w:ascii="Times New Roman" w:hAnsi="Times New Roman"/>
        </w:rPr>
      </w:pPr>
      <w:r>
        <w:rPr>
          <w:rFonts w:ascii="Times New Roman" w:hAnsi="Times New Roman"/>
        </w:rPr>
        <w:t>5  合同履行过程中经确认的变更、签证等书面文件。</w:t>
      </w:r>
    </w:p>
    <w:p w14:paraId="19E58304">
      <w:pPr>
        <w:rPr>
          <w:rFonts w:ascii="Times New Roman" w:hAnsi="Times New Roman"/>
        </w:rPr>
      </w:pPr>
      <w:r>
        <w:rPr>
          <w:rFonts w:ascii="Times New Roman" w:hAnsi="Times New Roman"/>
          <w:b/>
        </w:rPr>
        <w:t>11.2.2</w:t>
      </w:r>
      <w:r>
        <w:rPr>
          <w:rFonts w:ascii="Times New Roman" w:hAnsi="Times New Roman"/>
        </w:rPr>
        <w:t xml:space="preserve">  履约验收的标准应符合合同约定及国家现行标准的有关规定。工作成果应达到合同要求的质量标准和技术规范，成果资料应完整、准确、规范。</w:t>
      </w:r>
    </w:p>
    <w:p w14:paraId="14DFF17E">
      <w:pPr>
        <w:pStyle w:val="3"/>
      </w:pPr>
      <w:bookmarkStart w:id="592" w:name="_Toc231665563"/>
      <w:bookmarkStart w:id="593" w:name="_Toc638977334"/>
      <w:bookmarkStart w:id="594" w:name="_Toc721742661"/>
      <w:bookmarkStart w:id="595" w:name="_Toc1893461899"/>
      <w:bookmarkStart w:id="596" w:name="_Toc2101904202"/>
      <w:bookmarkStart w:id="597" w:name="_Toc1294477999"/>
      <w:bookmarkStart w:id="598" w:name="_Toc1219050566"/>
      <w:bookmarkStart w:id="599" w:name="_Toc2131642797"/>
      <w:bookmarkStart w:id="600" w:name="_Toc485406276"/>
      <w:r>
        <w:t>11.3  验收方式</w:t>
      </w:r>
      <w:bookmarkEnd w:id="592"/>
      <w:bookmarkEnd w:id="593"/>
      <w:bookmarkEnd w:id="594"/>
      <w:bookmarkEnd w:id="595"/>
      <w:bookmarkEnd w:id="596"/>
      <w:bookmarkEnd w:id="597"/>
      <w:bookmarkEnd w:id="598"/>
      <w:bookmarkEnd w:id="599"/>
      <w:bookmarkEnd w:id="600"/>
    </w:p>
    <w:p w14:paraId="6E403BB9">
      <w:pPr>
        <w:rPr>
          <w:rFonts w:ascii="Times New Roman" w:hAnsi="Times New Roman"/>
        </w:rPr>
      </w:pPr>
      <w:r>
        <w:rPr>
          <w:rFonts w:ascii="Times New Roman" w:hAnsi="Times New Roman"/>
          <w:b/>
        </w:rPr>
        <w:t>11.3.1</w:t>
      </w:r>
      <w:r>
        <w:rPr>
          <w:rFonts w:ascii="Times New Roman" w:hAnsi="Times New Roman"/>
        </w:rPr>
        <w:t xml:space="preserve">  履约验收可根据合同类型和项目特点，采用以下方式：</w:t>
      </w:r>
    </w:p>
    <w:p w14:paraId="314016F4">
      <w:pPr>
        <w:ind w:firstLine="420"/>
        <w:rPr>
          <w:rFonts w:ascii="Times New Roman" w:hAnsi="Times New Roman"/>
        </w:rPr>
      </w:pPr>
      <w:r>
        <w:rPr>
          <w:rFonts w:ascii="Times New Roman" w:hAnsi="Times New Roman"/>
        </w:rPr>
        <w:t>1  一次性验收：合同约定的全部工作完成后，对整体履约行为及最终成果进行一次性综合验收。</w:t>
      </w:r>
    </w:p>
    <w:p w14:paraId="02BD541A">
      <w:pPr>
        <w:ind w:firstLine="420"/>
        <w:rPr>
          <w:rFonts w:ascii="Times New Roman" w:hAnsi="Times New Roman"/>
        </w:rPr>
      </w:pPr>
      <w:r>
        <w:rPr>
          <w:rFonts w:ascii="Times New Roman" w:hAnsi="Times New Roman"/>
        </w:rPr>
        <w:t>2  分期验收：根据合同约定的分期交付节点或里程碑，对阶段履约行为或阶段成果分别进行验收。分期验收的结论应作为最终履约验收的组成部分。</w:t>
      </w:r>
    </w:p>
    <w:p w14:paraId="34502B88">
      <w:pPr>
        <w:rPr>
          <w:rFonts w:ascii="Times New Roman" w:hAnsi="Times New Roman"/>
        </w:rPr>
      </w:pPr>
      <w:r>
        <w:rPr>
          <w:rFonts w:ascii="Times New Roman" w:hAnsi="Times New Roman"/>
          <w:b/>
        </w:rPr>
        <w:t>11.3.2</w:t>
      </w:r>
      <w:r>
        <w:rPr>
          <w:rFonts w:ascii="Times New Roman" w:hAnsi="Times New Roman"/>
        </w:rPr>
        <w:t xml:space="preserve">  发包人应在合同中明确验收方式、验收节点及验收的组织程序。</w:t>
      </w:r>
    </w:p>
    <w:p w14:paraId="02A2E232">
      <w:pPr>
        <w:rPr>
          <w:rFonts w:ascii="Times New Roman" w:hAnsi="Times New Roman"/>
        </w:rPr>
      </w:pPr>
      <w:r>
        <w:rPr>
          <w:rFonts w:ascii="Times New Roman" w:hAnsi="Times New Roman"/>
          <w:b/>
        </w:rPr>
        <w:t>11.3.3</w:t>
      </w:r>
      <w:r>
        <w:rPr>
          <w:rFonts w:ascii="Times New Roman" w:hAnsi="Times New Roman"/>
        </w:rPr>
        <w:t xml:space="preserve">  对于履约周期长、工作内容复杂的合同，宜采用分期验收方式，确保过程问题及时发现、及时处理。</w:t>
      </w:r>
    </w:p>
    <w:p w14:paraId="3DCC3DDA">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11.3.4</w:t>
      </w:r>
      <w:r>
        <w:rPr>
          <w:rFonts w:hint="eastAsia" w:ascii="Times New Roman" w:hAnsi="Times New Roman"/>
          <w:color w:val="000000" w:themeColor="text1"/>
          <w14:textFill>
            <w14:solidFill>
              <w14:schemeClr w14:val="tx1"/>
            </w14:solidFill>
          </w14:textFill>
        </w:rPr>
        <w:t xml:space="preserve">  施工项目的履约验收应在竣工（完工）验收后组织。质量保证期结束可组织专项履约验收。</w:t>
      </w:r>
    </w:p>
    <w:p w14:paraId="5F6DBC0C">
      <w:pPr>
        <w:pStyle w:val="3"/>
      </w:pPr>
      <w:bookmarkStart w:id="601" w:name="_Toc45954192"/>
      <w:bookmarkStart w:id="602" w:name="_Toc231665564"/>
      <w:bookmarkStart w:id="603" w:name="_Toc58007791"/>
      <w:bookmarkStart w:id="604" w:name="_Toc611205878"/>
      <w:bookmarkStart w:id="605" w:name="_Toc384315254"/>
      <w:bookmarkStart w:id="606" w:name="_Toc307082115"/>
      <w:bookmarkStart w:id="607" w:name="_Toc363571376"/>
      <w:bookmarkStart w:id="608" w:name="_Toc1565576394"/>
      <w:bookmarkStart w:id="609" w:name="_Toc641846738"/>
      <w:r>
        <w:t>11.4  履约过程记录的归集与审查</w:t>
      </w:r>
      <w:bookmarkEnd w:id="601"/>
      <w:bookmarkEnd w:id="602"/>
      <w:bookmarkEnd w:id="603"/>
      <w:bookmarkEnd w:id="604"/>
      <w:bookmarkEnd w:id="605"/>
      <w:bookmarkEnd w:id="606"/>
      <w:bookmarkEnd w:id="607"/>
      <w:bookmarkEnd w:id="608"/>
      <w:bookmarkEnd w:id="609"/>
    </w:p>
    <w:p w14:paraId="0FD3FFC4">
      <w:pPr>
        <w:rPr>
          <w:rFonts w:ascii="Times New Roman" w:hAnsi="Times New Roman"/>
        </w:rPr>
      </w:pPr>
      <w:r>
        <w:rPr>
          <w:rFonts w:ascii="Times New Roman" w:hAnsi="Times New Roman"/>
          <w:b/>
        </w:rPr>
        <w:t>11.4.1</w:t>
      </w:r>
      <w:r>
        <w:rPr>
          <w:rFonts w:ascii="Times New Roman" w:hAnsi="Times New Roman"/>
        </w:rPr>
        <w:t xml:space="preserve">  在组织正式验收前，发包人应汇总整理合同履行全过程形成的履约管理记录，形成《履约管理记录汇总表》。记录来源包括但不限于：</w:t>
      </w:r>
    </w:p>
    <w:p w14:paraId="5307A8CA">
      <w:pPr>
        <w:ind w:firstLine="420"/>
        <w:rPr>
          <w:rFonts w:ascii="Times New Roman" w:hAnsi="Times New Roman"/>
        </w:rPr>
      </w:pPr>
      <w:r>
        <w:rPr>
          <w:rFonts w:ascii="Times New Roman" w:hAnsi="Times New Roman"/>
        </w:rPr>
        <w:t>1  人员到岗考勤记录及主要人员变更审批记录；</w:t>
      </w:r>
    </w:p>
    <w:p w14:paraId="67E33C20">
      <w:pPr>
        <w:ind w:firstLine="420"/>
        <w:rPr>
          <w:rFonts w:ascii="Times New Roman" w:hAnsi="Times New Roman"/>
        </w:rPr>
      </w:pPr>
      <w:r>
        <w:rPr>
          <w:rFonts w:ascii="Times New Roman" w:hAnsi="Times New Roman"/>
        </w:rPr>
        <w:t>2  设备材料进场验收记录及使用情况记录；</w:t>
      </w:r>
    </w:p>
    <w:p w14:paraId="1386834D">
      <w:pPr>
        <w:ind w:firstLine="420"/>
        <w:rPr>
          <w:rFonts w:ascii="Times New Roman" w:hAnsi="Times New Roman"/>
        </w:rPr>
      </w:pPr>
      <w:r>
        <w:rPr>
          <w:rFonts w:ascii="Times New Roman" w:hAnsi="Times New Roman"/>
        </w:rPr>
        <w:t>3  进度计划执行情况记录及偏差处理记录；</w:t>
      </w:r>
    </w:p>
    <w:p w14:paraId="2A67D520">
      <w:pPr>
        <w:ind w:firstLine="420"/>
        <w:rPr>
          <w:rFonts w:ascii="Times New Roman" w:hAnsi="Times New Roman"/>
        </w:rPr>
      </w:pPr>
      <w:r>
        <w:rPr>
          <w:rFonts w:ascii="Times New Roman" w:hAnsi="Times New Roman"/>
        </w:rPr>
        <w:t>4  质量检查、整改通知及验收记录；</w:t>
      </w:r>
    </w:p>
    <w:p w14:paraId="6C67F048">
      <w:pPr>
        <w:ind w:firstLine="420"/>
        <w:rPr>
          <w:rFonts w:ascii="Times New Roman" w:hAnsi="Times New Roman"/>
        </w:rPr>
      </w:pPr>
      <w:r>
        <w:rPr>
          <w:rFonts w:ascii="Times New Roman" w:hAnsi="Times New Roman"/>
        </w:rPr>
        <w:t>5  安全与环境检查记录及隐患整改记录；</w:t>
      </w:r>
    </w:p>
    <w:p w14:paraId="6A79FB2E">
      <w:pPr>
        <w:ind w:firstLine="420"/>
        <w:rPr>
          <w:rFonts w:ascii="Times New Roman" w:hAnsi="Times New Roman"/>
        </w:rPr>
      </w:pPr>
      <w:r>
        <w:rPr>
          <w:rFonts w:ascii="Times New Roman" w:hAnsi="Times New Roman"/>
        </w:rPr>
        <w:t>6  费用支付记录及变更确认记录；</w:t>
      </w:r>
    </w:p>
    <w:p w14:paraId="64A60BD2">
      <w:pPr>
        <w:ind w:firstLine="420"/>
        <w:rPr>
          <w:rFonts w:ascii="Times New Roman" w:hAnsi="Times New Roman"/>
        </w:rPr>
      </w:pPr>
      <w:r>
        <w:rPr>
          <w:rFonts w:ascii="Times New Roman" w:hAnsi="Times New Roman"/>
        </w:rPr>
        <w:t>7  违约行为认定记录及处置结果记录；</w:t>
      </w:r>
    </w:p>
    <w:p w14:paraId="512057A5">
      <w:pPr>
        <w:ind w:firstLine="420"/>
        <w:rPr>
          <w:rFonts w:ascii="Times New Roman" w:hAnsi="Times New Roman"/>
        </w:rPr>
      </w:pPr>
      <w:r>
        <w:rPr>
          <w:rFonts w:ascii="Times New Roman" w:hAnsi="Times New Roman"/>
        </w:rPr>
        <w:t>8  合同约定的其他履约过程记录。</w:t>
      </w:r>
    </w:p>
    <w:p w14:paraId="60CF4568">
      <w:pPr>
        <w:rPr>
          <w:rFonts w:ascii="Times New Roman" w:hAnsi="Times New Roman"/>
        </w:rPr>
      </w:pPr>
      <w:r>
        <w:rPr>
          <w:rFonts w:ascii="Times New Roman" w:hAnsi="Times New Roman"/>
          <w:b/>
        </w:rPr>
        <w:t>11.4.2</w:t>
      </w:r>
      <w:r>
        <w:rPr>
          <w:rFonts w:ascii="Times New Roman" w:hAnsi="Times New Roman"/>
        </w:rPr>
        <w:t xml:space="preserve">  发包人应对履约过程记录进行逐项审查，识别以下事项，形成《履约过程问题汇总表》：</w:t>
      </w:r>
    </w:p>
    <w:p w14:paraId="0AA69946">
      <w:pPr>
        <w:ind w:firstLine="420"/>
        <w:rPr>
          <w:rFonts w:ascii="Times New Roman" w:hAnsi="Times New Roman"/>
        </w:rPr>
      </w:pPr>
      <w:r>
        <w:rPr>
          <w:rFonts w:ascii="Times New Roman" w:hAnsi="Times New Roman"/>
        </w:rPr>
        <w:t>1  是否存在未达成的履约清单要求；</w:t>
      </w:r>
    </w:p>
    <w:p w14:paraId="3452DAE3">
      <w:pPr>
        <w:ind w:firstLine="420"/>
        <w:rPr>
          <w:rFonts w:ascii="Times New Roman" w:hAnsi="Times New Roman"/>
        </w:rPr>
      </w:pPr>
      <w:r>
        <w:rPr>
          <w:rFonts w:ascii="Times New Roman" w:hAnsi="Times New Roman"/>
        </w:rPr>
        <w:t>2  是否存在未闭合的整改事项；</w:t>
      </w:r>
    </w:p>
    <w:p w14:paraId="69A402BD">
      <w:pPr>
        <w:ind w:firstLine="420"/>
        <w:rPr>
          <w:rFonts w:ascii="Times New Roman" w:hAnsi="Times New Roman"/>
        </w:rPr>
      </w:pPr>
      <w:r>
        <w:rPr>
          <w:rFonts w:ascii="Times New Roman" w:hAnsi="Times New Roman"/>
        </w:rPr>
        <w:t>3  是否存在已认定但未处理的违约行为；</w:t>
      </w:r>
    </w:p>
    <w:p w14:paraId="540A096A">
      <w:pPr>
        <w:ind w:firstLine="420"/>
        <w:rPr>
          <w:rFonts w:ascii="Times New Roman" w:hAnsi="Times New Roman"/>
        </w:rPr>
      </w:pPr>
      <w:r>
        <w:rPr>
          <w:rFonts w:ascii="Times New Roman" w:hAnsi="Times New Roman"/>
        </w:rPr>
        <w:t>4 是否存在合同约定的其他应处理未处理事项。</w:t>
      </w:r>
    </w:p>
    <w:p w14:paraId="201811E9">
      <w:pPr>
        <w:rPr>
          <w:rFonts w:ascii="Times New Roman" w:hAnsi="Times New Roman"/>
        </w:rPr>
      </w:pPr>
      <w:r>
        <w:rPr>
          <w:rFonts w:ascii="Times New Roman" w:hAnsi="Times New Roman"/>
          <w:b/>
        </w:rPr>
        <w:t>11.4.3</w:t>
      </w:r>
      <w:r>
        <w:rPr>
          <w:rFonts w:ascii="Times New Roman" w:hAnsi="Times New Roman"/>
        </w:rPr>
        <w:t xml:space="preserve">  《履约过程问题汇总表》应逐项列明问题描述、发生时间、认定依据、当前状态，并依据合同约定核算对应的违约金或赔偿金金额。</w:t>
      </w:r>
    </w:p>
    <w:p w14:paraId="5673C86C">
      <w:pPr>
        <w:rPr>
          <w:rFonts w:ascii="Times New Roman" w:hAnsi="Times New Roman"/>
        </w:rPr>
      </w:pPr>
      <w:r>
        <w:rPr>
          <w:rFonts w:ascii="Times New Roman" w:hAnsi="Times New Roman"/>
          <w:b/>
        </w:rPr>
        <w:t>11.4.4</w:t>
      </w:r>
      <w:r>
        <w:rPr>
          <w:rFonts w:ascii="Times New Roman" w:hAnsi="Times New Roman"/>
        </w:rPr>
        <w:t xml:space="preserve">  《履约管理记录汇总表》和《履约过程问题汇总表》应作为履约验收报告的组成部分，与验收结论一并签署确认。</w:t>
      </w:r>
    </w:p>
    <w:p w14:paraId="32DCBA97">
      <w:pPr>
        <w:pStyle w:val="3"/>
      </w:pPr>
      <w:bookmarkStart w:id="610" w:name="_Toc1018197051"/>
      <w:bookmarkStart w:id="611" w:name="_Toc1823578801"/>
      <w:bookmarkStart w:id="612" w:name="_Toc87044231"/>
      <w:bookmarkStart w:id="613" w:name="_Toc231665565"/>
      <w:bookmarkStart w:id="614" w:name="_Toc2102732944"/>
      <w:bookmarkStart w:id="615" w:name="_Toc515127401"/>
      <w:bookmarkStart w:id="616" w:name="_Toc454863427"/>
      <w:bookmarkStart w:id="617" w:name="_Toc1773121726"/>
      <w:bookmarkStart w:id="618" w:name="_Toc479137102"/>
      <w:r>
        <w:t>11.5  验收程序</w:t>
      </w:r>
      <w:bookmarkEnd w:id="610"/>
      <w:bookmarkEnd w:id="611"/>
      <w:bookmarkEnd w:id="612"/>
      <w:bookmarkEnd w:id="613"/>
      <w:bookmarkEnd w:id="614"/>
      <w:bookmarkEnd w:id="615"/>
      <w:bookmarkEnd w:id="616"/>
      <w:bookmarkEnd w:id="617"/>
      <w:bookmarkEnd w:id="618"/>
    </w:p>
    <w:p w14:paraId="58EF0726">
      <w:pPr>
        <w:rPr>
          <w:rFonts w:ascii="Times New Roman" w:hAnsi="Times New Roman"/>
        </w:rPr>
      </w:pPr>
      <w:r>
        <w:rPr>
          <w:rFonts w:ascii="Times New Roman" w:hAnsi="Times New Roman"/>
          <w:b/>
        </w:rPr>
        <w:t>11.5.1</w:t>
      </w:r>
      <w:r>
        <w:rPr>
          <w:rFonts w:ascii="Times New Roman" w:hAnsi="Times New Roman"/>
        </w:rPr>
        <w:t xml:space="preserve">  合同约定的全部工作或分期工作完成后，承包人应完成内部自查，确认达到验收条件后，向发包人提交书面验收申请及完整的成果资料。</w:t>
      </w:r>
    </w:p>
    <w:p w14:paraId="64F223E7">
      <w:pPr>
        <w:rPr>
          <w:rFonts w:ascii="Times New Roman" w:hAnsi="Times New Roman"/>
        </w:rPr>
      </w:pPr>
      <w:r>
        <w:rPr>
          <w:rFonts w:ascii="Times New Roman" w:hAnsi="Times New Roman"/>
          <w:b/>
        </w:rPr>
        <w:t>11.5.2</w:t>
      </w:r>
      <w:r>
        <w:rPr>
          <w:rFonts w:ascii="Times New Roman" w:hAnsi="Times New Roman"/>
        </w:rPr>
        <w:t xml:space="preserve">  发包人收到验收申请后，应在合同约定期限内完成以下工作：</w:t>
      </w:r>
    </w:p>
    <w:p w14:paraId="385852B9">
      <w:pPr>
        <w:ind w:firstLine="420"/>
        <w:rPr>
          <w:rFonts w:ascii="Times New Roman" w:hAnsi="Times New Roman"/>
        </w:rPr>
      </w:pPr>
      <w:r>
        <w:rPr>
          <w:rFonts w:ascii="Times New Roman" w:hAnsi="Times New Roman"/>
        </w:rPr>
        <w:t>1  核查申请资料的完整性和合规性；</w:t>
      </w:r>
    </w:p>
    <w:p w14:paraId="2F6A5C13">
      <w:pPr>
        <w:ind w:firstLine="420"/>
        <w:rPr>
          <w:rFonts w:ascii="Times New Roman" w:hAnsi="Times New Roman"/>
        </w:rPr>
      </w:pPr>
      <w:r>
        <w:rPr>
          <w:rFonts w:ascii="Times New Roman" w:hAnsi="Times New Roman"/>
        </w:rPr>
        <w:t>2  确认履约过程记录及问题汇总表已整理完毕；</w:t>
      </w:r>
    </w:p>
    <w:p w14:paraId="1E5B08B7">
      <w:pPr>
        <w:ind w:firstLine="420"/>
        <w:rPr>
          <w:rFonts w:ascii="Times New Roman" w:hAnsi="Times New Roman"/>
        </w:rPr>
      </w:pPr>
      <w:r>
        <w:rPr>
          <w:rFonts w:ascii="Times New Roman" w:hAnsi="Times New Roman"/>
        </w:rPr>
        <w:t>3  确定验收时间、地点、履约验收小组成员组成及其他参与人员，并通知承包人及相关方。</w:t>
      </w:r>
    </w:p>
    <w:p w14:paraId="256A16B8">
      <w:pPr>
        <w:rPr>
          <w:rFonts w:ascii="Times New Roman" w:hAnsi="Times New Roman"/>
        </w:rPr>
      </w:pPr>
      <w:r>
        <w:rPr>
          <w:rFonts w:ascii="Times New Roman" w:hAnsi="Times New Roman"/>
          <w:b/>
        </w:rPr>
        <w:t>11.5.3</w:t>
      </w:r>
      <w:r>
        <w:rPr>
          <w:rFonts w:ascii="Times New Roman" w:hAnsi="Times New Roman"/>
        </w:rPr>
        <w:t xml:space="preserve">  发包人组织履约验收会议，应包括以下环节：</w:t>
      </w:r>
    </w:p>
    <w:p w14:paraId="71F65A32">
      <w:pPr>
        <w:ind w:firstLine="420"/>
        <w:rPr>
          <w:rFonts w:ascii="Times New Roman" w:hAnsi="Times New Roman"/>
        </w:rPr>
      </w:pPr>
      <w:r>
        <w:rPr>
          <w:rFonts w:ascii="Times New Roman" w:hAnsi="Times New Roman"/>
        </w:rPr>
        <w:t>1  听取承包人的履约情况汇报；</w:t>
      </w:r>
    </w:p>
    <w:p w14:paraId="12EF29B3">
      <w:pPr>
        <w:ind w:firstLine="420"/>
        <w:rPr>
          <w:rFonts w:ascii="Times New Roman" w:hAnsi="Times New Roman"/>
        </w:rPr>
      </w:pPr>
      <w:r>
        <w:rPr>
          <w:rFonts w:ascii="Times New Roman" w:hAnsi="Times New Roman"/>
        </w:rPr>
        <w:t>2  审查履约管理记录汇总表及问题汇总表；</w:t>
      </w:r>
    </w:p>
    <w:p w14:paraId="7C1F837A">
      <w:pPr>
        <w:ind w:firstLine="420"/>
        <w:rPr>
          <w:rFonts w:ascii="Times New Roman" w:hAnsi="Times New Roman"/>
        </w:rPr>
      </w:pPr>
      <w:r>
        <w:rPr>
          <w:rFonts w:ascii="Times New Roman" w:hAnsi="Times New Roman"/>
        </w:rPr>
        <w:t>3  核查最终交付成果是否符合合同约定的质量标准和验收条件；</w:t>
      </w:r>
    </w:p>
    <w:p w14:paraId="6003DC26">
      <w:pPr>
        <w:ind w:firstLine="420"/>
        <w:rPr>
          <w:rFonts w:ascii="Times New Roman" w:hAnsi="Times New Roman"/>
        </w:rPr>
      </w:pPr>
      <w:r>
        <w:rPr>
          <w:rFonts w:ascii="Times New Roman" w:hAnsi="Times New Roman"/>
        </w:rPr>
        <w:t>4  必要时进行现场查验或功能检测；</w:t>
      </w:r>
    </w:p>
    <w:p w14:paraId="0F218F53">
      <w:pPr>
        <w:ind w:firstLine="420"/>
        <w:rPr>
          <w:rFonts w:ascii="Times New Roman" w:hAnsi="Times New Roman"/>
        </w:rPr>
      </w:pPr>
      <w:r>
        <w:rPr>
          <w:rFonts w:ascii="Times New Roman" w:hAnsi="Times New Roman"/>
        </w:rPr>
        <w:t>5  形成验收意见，由履约验收小组成员签字确认。</w:t>
      </w:r>
    </w:p>
    <w:p w14:paraId="15841DC0">
      <w:pPr>
        <w:rPr>
          <w:rFonts w:ascii="Times New Roman" w:hAnsi="Times New Roman"/>
        </w:rPr>
      </w:pPr>
      <w:r>
        <w:rPr>
          <w:rFonts w:ascii="Times New Roman" w:hAnsi="Times New Roman"/>
          <w:b/>
        </w:rPr>
        <w:t>11.5.4</w:t>
      </w:r>
      <w:r>
        <w:rPr>
          <w:rFonts w:ascii="Times New Roman" w:hAnsi="Times New Roman"/>
        </w:rPr>
        <w:t xml:space="preserve">  验收会议中发现可即时确认的问题，应在验收意见中记录；需补充资料或进一步核实的，发包人可暂缓出具验收结论，待问题澄清后再行确认。</w:t>
      </w:r>
    </w:p>
    <w:p w14:paraId="087603E1">
      <w:pPr>
        <w:rPr>
          <w:rFonts w:ascii="Times New Roman" w:hAnsi="Times New Roman"/>
        </w:rPr>
      </w:pPr>
      <w:r>
        <w:rPr>
          <w:rFonts w:ascii="Times New Roman" w:hAnsi="Times New Roman"/>
          <w:b/>
        </w:rPr>
        <w:t>11.5.5</w:t>
      </w:r>
      <w:r>
        <w:rPr>
          <w:rFonts w:ascii="Times New Roman" w:hAnsi="Times New Roman"/>
        </w:rPr>
        <w:t xml:space="preserve">  分期验收的，每次验收均应形成阶段性验收记录，作为最终履约验收的组成部分。</w:t>
      </w:r>
    </w:p>
    <w:p w14:paraId="327F79E6">
      <w:pPr>
        <w:pStyle w:val="3"/>
      </w:pPr>
      <w:bookmarkStart w:id="619" w:name="_Toc613477453"/>
      <w:bookmarkStart w:id="620" w:name="_Toc401182352"/>
      <w:bookmarkStart w:id="621" w:name="_Toc1145853135"/>
      <w:bookmarkStart w:id="622" w:name="_Toc2111374225"/>
      <w:bookmarkStart w:id="623" w:name="_Toc1925632393"/>
      <w:bookmarkStart w:id="624" w:name="_Toc2259153"/>
      <w:bookmarkStart w:id="625" w:name="_Toc231665566"/>
      <w:bookmarkStart w:id="626" w:name="_Toc1176422440"/>
      <w:bookmarkStart w:id="627" w:name="_Toc1860822658"/>
      <w:r>
        <w:t>11.6  履约验收报告</w:t>
      </w:r>
      <w:bookmarkEnd w:id="619"/>
      <w:bookmarkEnd w:id="620"/>
      <w:bookmarkEnd w:id="621"/>
      <w:bookmarkEnd w:id="622"/>
      <w:bookmarkEnd w:id="623"/>
      <w:bookmarkEnd w:id="624"/>
      <w:bookmarkEnd w:id="625"/>
      <w:bookmarkEnd w:id="626"/>
      <w:bookmarkEnd w:id="627"/>
    </w:p>
    <w:p w14:paraId="5F743802">
      <w:pPr>
        <w:rPr>
          <w:rFonts w:ascii="Times New Roman" w:hAnsi="Times New Roman"/>
        </w:rPr>
      </w:pPr>
      <w:r>
        <w:rPr>
          <w:rFonts w:ascii="Times New Roman" w:hAnsi="Times New Roman"/>
          <w:b/>
        </w:rPr>
        <w:t>11.6.1</w:t>
      </w:r>
      <w:r>
        <w:rPr>
          <w:rFonts w:ascii="Times New Roman" w:hAnsi="Times New Roman"/>
        </w:rPr>
        <w:t xml:space="preserve">  验收工作完成后，发包人应编制《履约验收报告》，经发包人与承包人共同确认后签署。</w:t>
      </w:r>
    </w:p>
    <w:p w14:paraId="08957B33">
      <w:pPr>
        <w:rPr>
          <w:rFonts w:ascii="Times New Roman" w:hAnsi="Times New Roman"/>
        </w:rPr>
      </w:pPr>
      <w:r>
        <w:rPr>
          <w:rFonts w:ascii="Times New Roman" w:hAnsi="Times New Roman"/>
          <w:b/>
        </w:rPr>
        <w:t>11.6.2</w:t>
      </w:r>
      <w:r>
        <w:rPr>
          <w:rFonts w:ascii="Times New Roman" w:hAnsi="Times New Roman"/>
        </w:rPr>
        <w:t xml:space="preserve">  履约验收报告应包括以下内容：</w:t>
      </w:r>
    </w:p>
    <w:p w14:paraId="69A3F82A">
      <w:pPr>
        <w:ind w:firstLine="420"/>
        <w:rPr>
          <w:rFonts w:ascii="Times New Roman" w:hAnsi="Times New Roman"/>
        </w:rPr>
      </w:pPr>
      <w:r>
        <w:rPr>
          <w:rFonts w:ascii="Times New Roman" w:hAnsi="Times New Roman"/>
        </w:rPr>
        <w:t>1  基本信息：合同名称、编号、签约各方、合同金额、合同期限等；</w:t>
      </w:r>
    </w:p>
    <w:p w14:paraId="52745CA4">
      <w:pPr>
        <w:ind w:firstLine="420"/>
        <w:rPr>
          <w:rFonts w:ascii="Times New Roman" w:hAnsi="Times New Roman"/>
        </w:rPr>
      </w:pPr>
      <w:r>
        <w:rPr>
          <w:rFonts w:ascii="Times New Roman" w:hAnsi="Times New Roman"/>
        </w:rPr>
        <w:t>2  验收结论：明确判定为</w:t>
      </w:r>
      <w:r>
        <w:rPr>
          <w:rFonts w:hint="eastAsia" w:ascii="Times New Roman" w:hAnsi="Times New Roman"/>
          <w:lang w:eastAsia="zh-CN"/>
        </w:rPr>
        <w:t>“</w:t>
      </w:r>
      <w:r>
        <w:rPr>
          <w:rFonts w:ascii="Times New Roman" w:hAnsi="Times New Roman"/>
        </w:rPr>
        <w:t>通过</w:t>
      </w:r>
      <w:r>
        <w:rPr>
          <w:rFonts w:hint="eastAsia" w:ascii="Times New Roman" w:hAnsi="Times New Roman"/>
          <w:lang w:eastAsia="zh-CN"/>
        </w:rPr>
        <w:t>”</w:t>
      </w:r>
      <w:r>
        <w:rPr>
          <w:rFonts w:ascii="Times New Roman" w:hAnsi="Times New Roman"/>
        </w:rPr>
        <w:t>或</w:t>
      </w:r>
      <w:r>
        <w:rPr>
          <w:rFonts w:hint="eastAsia" w:ascii="Times New Roman" w:hAnsi="Times New Roman"/>
          <w:lang w:eastAsia="zh-CN"/>
        </w:rPr>
        <w:t>“</w:t>
      </w:r>
      <w:r>
        <w:rPr>
          <w:rFonts w:ascii="Times New Roman" w:hAnsi="Times New Roman"/>
        </w:rPr>
        <w:t>不通过</w:t>
      </w:r>
      <w:r>
        <w:rPr>
          <w:rFonts w:hint="eastAsia" w:ascii="Times New Roman" w:hAnsi="Times New Roman"/>
          <w:lang w:eastAsia="zh-CN"/>
        </w:rPr>
        <w:t>”</w:t>
      </w:r>
      <w:r>
        <w:rPr>
          <w:rFonts w:ascii="Times New Roman" w:hAnsi="Times New Roman"/>
        </w:rPr>
        <w:t>；</w:t>
      </w:r>
    </w:p>
    <w:p w14:paraId="5512E34F">
      <w:pPr>
        <w:ind w:firstLine="420"/>
        <w:rPr>
          <w:rFonts w:ascii="Times New Roman" w:hAnsi="Times New Roman"/>
        </w:rPr>
      </w:pPr>
      <w:r>
        <w:rPr>
          <w:rFonts w:ascii="Times New Roman" w:hAnsi="Times New Roman"/>
        </w:rPr>
        <w:t>3  履约过程问题汇总表：逐项列明问题描述、发生时间、认定依据、处理状态及对应的违约金、赔偿金金额；</w:t>
      </w:r>
    </w:p>
    <w:p w14:paraId="50A71E79">
      <w:pPr>
        <w:ind w:firstLine="420"/>
        <w:rPr>
          <w:rFonts w:ascii="Times New Roman" w:hAnsi="Times New Roman"/>
        </w:rPr>
      </w:pPr>
      <w:r>
        <w:rPr>
          <w:rFonts w:ascii="Times New Roman" w:hAnsi="Times New Roman"/>
        </w:rPr>
        <w:t>4  结算建议：依据问题汇总表，列明应在合同结算时扣除的款项明细及金额，或建议暂缓支付的事项及理由；</w:t>
      </w:r>
    </w:p>
    <w:p w14:paraId="3648DA74">
      <w:pPr>
        <w:ind w:firstLine="420"/>
        <w:rPr>
          <w:rFonts w:ascii="Times New Roman" w:hAnsi="Times New Roman"/>
        </w:rPr>
      </w:pPr>
      <w:r>
        <w:rPr>
          <w:rFonts w:ascii="Times New Roman" w:hAnsi="Times New Roman"/>
        </w:rPr>
        <w:t>5  未闭合事项及后续处理要求：列明验收时仍未完成整改的事项及后续处置安排；</w:t>
      </w:r>
    </w:p>
    <w:p w14:paraId="23F16D75">
      <w:pPr>
        <w:ind w:firstLine="420"/>
        <w:rPr>
          <w:rFonts w:ascii="Times New Roman" w:hAnsi="Times New Roman"/>
        </w:rPr>
      </w:pPr>
      <w:r>
        <w:rPr>
          <w:rFonts w:ascii="Times New Roman" w:hAnsi="Times New Roman"/>
        </w:rPr>
        <w:t>6  签署栏：发包人、承包人代表签字并加盖公章。</w:t>
      </w:r>
    </w:p>
    <w:p w14:paraId="0000E8C4">
      <w:pPr>
        <w:rPr>
          <w:rFonts w:ascii="Times New Roman" w:hAnsi="Times New Roman"/>
        </w:rPr>
      </w:pPr>
      <w:r>
        <w:rPr>
          <w:rFonts w:ascii="Times New Roman" w:hAnsi="Times New Roman"/>
          <w:b/>
        </w:rPr>
        <w:t>11.6.3</w:t>
      </w:r>
      <w:r>
        <w:rPr>
          <w:rFonts w:ascii="Times New Roman" w:hAnsi="Times New Roman"/>
        </w:rPr>
        <w:t xml:space="preserve">  验收结论为“通过”的，应符合以下条件：</w:t>
      </w:r>
    </w:p>
    <w:p w14:paraId="3DEE50B7">
      <w:pPr>
        <w:ind w:firstLine="420"/>
        <w:rPr>
          <w:rFonts w:ascii="Times New Roman" w:hAnsi="Times New Roman"/>
        </w:rPr>
      </w:pPr>
      <w:r>
        <w:rPr>
          <w:rFonts w:ascii="Times New Roman" w:hAnsi="Times New Roman"/>
        </w:rPr>
        <w:t>1  履约清单所列各项义务已全部完成或虽有偏差但已按合同约定处理完毕；</w:t>
      </w:r>
    </w:p>
    <w:p w14:paraId="7A9B4815">
      <w:pPr>
        <w:ind w:firstLine="420"/>
        <w:rPr>
          <w:rFonts w:ascii="Times New Roman" w:hAnsi="Times New Roman"/>
        </w:rPr>
      </w:pPr>
      <w:r>
        <w:rPr>
          <w:rFonts w:ascii="Times New Roman" w:hAnsi="Times New Roman"/>
        </w:rPr>
        <w:t>2  最终交付成果符合合同约定的质量标准和验收条件；</w:t>
      </w:r>
    </w:p>
    <w:p w14:paraId="32293FD2">
      <w:pPr>
        <w:ind w:firstLine="420"/>
        <w:rPr>
          <w:rFonts w:ascii="Times New Roman" w:hAnsi="Times New Roman"/>
        </w:rPr>
      </w:pPr>
      <w:r>
        <w:rPr>
          <w:rFonts w:ascii="Times New Roman" w:hAnsi="Times New Roman"/>
        </w:rPr>
        <w:t>3  履约过程问题汇总表中各项问题均已整改到位或已核算对应扣款；</w:t>
      </w:r>
    </w:p>
    <w:p w14:paraId="73822E3B">
      <w:pPr>
        <w:ind w:firstLine="420"/>
        <w:rPr>
          <w:rFonts w:ascii="Times New Roman" w:hAnsi="Times New Roman"/>
        </w:rPr>
      </w:pPr>
      <w:r>
        <w:rPr>
          <w:rFonts w:ascii="Times New Roman" w:hAnsi="Times New Roman"/>
        </w:rPr>
        <w:t>4  成果资料完整、规范。</w:t>
      </w:r>
    </w:p>
    <w:p w14:paraId="6434908E">
      <w:pPr>
        <w:rPr>
          <w:rFonts w:ascii="Times New Roman" w:hAnsi="Times New Roman"/>
        </w:rPr>
      </w:pPr>
      <w:r>
        <w:rPr>
          <w:rFonts w:ascii="Times New Roman" w:hAnsi="Times New Roman"/>
          <w:b/>
        </w:rPr>
        <w:t>11.6.4</w:t>
      </w:r>
      <w:r>
        <w:rPr>
          <w:rFonts w:ascii="Times New Roman" w:hAnsi="Times New Roman"/>
        </w:rPr>
        <w:t xml:space="preserve">  验收结论为“不通过”的，发包人应在报告中明确不通过的具体事项、认定依据及整改要求。承包人应在限定期限内完成整改，整改完成后重新申请验收。重新验收仍不合格的，发包人应按合同约定追究承包人违约责任，相关违约信息纳入履约信用管理。</w:t>
      </w:r>
    </w:p>
    <w:p w14:paraId="4F9A92FE">
      <w:pPr>
        <w:rPr>
          <w:rFonts w:ascii="Times New Roman" w:hAnsi="Times New Roman"/>
        </w:rPr>
      </w:pPr>
      <w:r>
        <w:rPr>
          <w:rFonts w:ascii="Times New Roman" w:hAnsi="Times New Roman"/>
          <w:b/>
        </w:rPr>
        <w:t xml:space="preserve">11.6.5 </w:t>
      </w:r>
      <w:r>
        <w:rPr>
          <w:rFonts w:ascii="Times New Roman" w:hAnsi="Times New Roman"/>
        </w:rPr>
        <w:t xml:space="preserve"> 验收结论为“不通过”的，发包人不得进入结算支付程序。整改完成并验收通过后，方可办理结算。</w:t>
      </w:r>
    </w:p>
    <w:p w14:paraId="7805FA54">
      <w:pPr>
        <w:pStyle w:val="3"/>
      </w:pPr>
      <w:bookmarkStart w:id="628" w:name="_Toc864636600"/>
      <w:bookmarkStart w:id="629" w:name="_Toc1605941374"/>
      <w:bookmarkStart w:id="630" w:name="_Toc231665567"/>
      <w:bookmarkStart w:id="631" w:name="_Toc859057544"/>
      <w:bookmarkStart w:id="632" w:name="_Toc342449521"/>
      <w:bookmarkStart w:id="633" w:name="_Toc1573048396"/>
      <w:bookmarkStart w:id="634" w:name="_Toc2127889008"/>
      <w:bookmarkStart w:id="635" w:name="_Toc223088894"/>
      <w:bookmarkStart w:id="636" w:name="_Toc805370590"/>
      <w:r>
        <w:t>11.7  履约验收与结算联动</w:t>
      </w:r>
      <w:bookmarkEnd w:id="628"/>
      <w:bookmarkEnd w:id="629"/>
      <w:bookmarkEnd w:id="630"/>
      <w:bookmarkEnd w:id="631"/>
      <w:bookmarkEnd w:id="632"/>
      <w:bookmarkEnd w:id="633"/>
      <w:bookmarkEnd w:id="634"/>
      <w:bookmarkEnd w:id="635"/>
      <w:bookmarkEnd w:id="636"/>
    </w:p>
    <w:p w14:paraId="1861637A">
      <w:pPr>
        <w:rPr>
          <w:rFonts w:ascii="Times New Roman" w:hAnsi="Times New Roman"/>
        </w:rPr>
      </w:pPr>
      <w:r>
        <w:rPr>
          <w:rFonts w:ascii="Times New Roman" w:hAnsi="Times New Roman"/>
          <w:b/>
        </w:rPr>
        <w:t>11.7.1</w:t>
      </w:r>
      <w:r>
        <w:rPr>
          <w:rFonts w:ascii="Times New Roman" w:hAnsi="Times New Roman"/>
        </w:rPr>
        <w:t xml:space="preserve">  履约验收报告是合同结算的必要依据。</w:t>
      </w:r>
    </w:p>
    <w:p w14:paraId="6B31F5A4">
      <w:pPr>
        <w:rPr>
          <w:rFonts w:ascii="Times New Roman" w:hAnsi="Times New Roman"/>
        </w:rPr>
      </w:pPr>
      <w:r>
        <w:rPr>
          <w:rFonts w:ascii="Times New Roman" w:hAnsi="Times New Roman"/>
          <w:b/>
        </w:rPr>
        <w:t>11.7.2</w:t>
      </w:r>
      <w:r>
        <w:rPr>
          <w:rFonts w:ascii="Times New Roman" w:hAnsi="Times New Roman"/>
        </w:rPr>
        <w:t xml:space="preserve">  结算审核应依据履约验收报告中的以下内容调整应付款项：</w:t>
      </w:r>
    </w:p>
    <w:p w14:paraId="76A988DD">
      <w:pPr>
        <w:ind w:firstLine="420"/>
        <w:rPr>
          <w:rFonts w:ascii="Times New Roman" w:hAnsi="Times New Roman"/>
        </w:rPr>
      </w:pPr>
      <w:r>
        <w:rPr>
          <w:rFonts w:ascii="Times New Roman" w:hAnsi="Times New Roman"/>
        </w:rPr>
        <w:t>1  履约过程问题汇总表中列明的违约金、赔偿金，从结算价款中直接扣除；</w:t>
      </w:r>
    </w:p>
    <w:p w14:paraId="60F482E4">
      <w:pPr>
        <w:ind w:firstLine="420"/>
        <w:rPr>
          <w:rFonts w:ascii="Times New Roman" w:hAnsi="Times New Roman"/>
        </w:rPr>
      </w:pPr>
      <w:r>
        <w:rPr>
          <w:rFonts w:ascii="Times New Roman" w:hAnsi="Times New Roman"/>
        </w:rPr>
        <w:t>2  暂缓支付事项在条件满足后方可支付；</w:t>
      </w:r>
    </w:p>
    <w:p w14:paraId="1F4E415E">
      <w:pPr>
        <w:ind w:firstLine="420"/>
        <w:rPr>
          <w:rFonts w:ascii="Times New Roman" w:hAnsi="Times New Roman"/>
        </w:rPr>
      </w:pPr>
      <w:r>
        <w:rPr>
          <w:rFonts w:ascii="Times New Roman" w:hAnsi="Times New Roman"/>
        </w:rPr>
        <w:t>3  承包人原因造成的损失赔偿，在结算时一并清算。</w:t>
      </w:r>
    </w:p>
    <w:p w14:paraId="182E7324">
      <w:pPr>
        <w:rPr>
          <w:rFonts w:ascii="Times New Roman" w:hAnsi="Times New Roman"/>
        </w:rPr>
      </w:pPr>
      <w:r>
        <w:rPr>
          <w:rFonts w:ascii="Times New Roman" w:hAnsi="Times New Roman"/>
          <w:b/>
        </w:rPr>
        <w:t>11.7.3</w:t>
      </w:r>
      <w:r>
        <w:rPr>
          <w:rFonts w:ascii="Times New Roman" w:hAnsi="Times New Roman"/>
        </w:rPr>
        <w:t xml:space="preserve">  发包人应在合同中明确履约验收与结算的程序衔接，确保验收在前、结算在后。</w:t>
      </w:r>
    </w:p>
    <w:p w14:paraId="4903E433">
      <w:pPr>
        <w:rPr>
          <w:rFonts w:ascii="Times New Roman" w:hAnsi="Times New Roman"/>
        </w:rPr>
      </w:pPr>
      <w:r>
        <w:rPr>
          <w:rFonts w:ascii="Times New Roman" w:hAnsi="Times New Roman"/>
          <w:b/>
        </w:rPr>
        <w:t>11.7.4</w:t>
      </w:r>
      <w:r>
        <w:rPr>
          <w:rFonts w:ascii="Times New Roman" w:hAnsi="Times New Roman"/>
        </w:rPr>
        <w:t xml:space="preserve">  履约验收报告、结算审核文件等相关资料应及时归档保存。</w:t>
      </w:r>
    </w:p>
    <w:p w14:paraId="3556543E">
      <w:pPr>
        <w:pStyle w:val="2"/>
      </w:pPr>
      <w:r>
        <w:br w:type="page"/>
      </w:r>
      <w:bookmarkStart w:id="637" w:name="_Toc322344234"/>
      <w:bookmarkStart w:id="638" w:name="_Toc1732827579"/>
      <w:bookmarkStart w:id="639" w:name="_Toc1680795018"/>
      <w:bookmarkStart w:id="640" w:name="_Toc522724751"/>
      <w:bookmarkStart w:id="641" w:name="_Toc271379785"/>
      <w:bookmarkStart w:id="642" w:name="_Toc588407081"/>
      <w:bookmarkStart w:id="643" w:name="_Toc1229709939"/>
      <w:bookmarkStart w:id="644" w:name="_Toc135537728"/>
      <w:bookmarkStart w:id="645" w:name="_Toc231665568"/>
      <w:r>
        <w:t>12  质量保证期管理</w:t>
      </w:r>
      <w:bookmarkEnd w:id="637"/>
      <w:bookmarkEnd w:id="638"/>
      <w:bookmarkEnd w:id="639"/>
      <w:bookmarkEnd w:id="640"/>
      <w:bookmarkEnd w:id="641"/>
      <w:bookmarkEnd w:id="642"/>
      <w:bookmarkEnd w:id="643"/>
      <w:bookmarkEnd w:id="644"/>
      <w:bookmarkEnd w:id="645"/>
    </w:p>
    <w:p w14:paraId="4BEA8E96">
      <w:pPr>
        <w:pStyle w:val="3"/>
      </w:pPr>
      <w:bookmarkStart w:id="646" w:name="_Toc2034481608"/>
      <w:bookmarkStart w:id="647" w:name="_Toc466449488"/>
      <w:bookmarkStart w:id="648" w:name="_Toc389044678"/>
      <w:bookmarkStart w:id="649" w:name="_Toc2107102652"/>
      <w:bookmarkStart w:id="650" w:name="_Toc1142663464"/>
      <w:bookmarkStart w:id="651" w:name="_Toc1913552987"/>
      <w:bookmarkStart w:id="652" w:name="_Toc231665569"/>
      <w:bookmarkStart w:id="653" w:name="_Toc1047150568"/>
      <w:bookmarkStart w:id="654" w:name="_Toc1080886854"/>
      <w:r>
        <w:t>12.1  一般规定</w:t>
      </w:r>
      <w:bookmarkEnd w:id="646"/>
      <w:bookmarkEnd w:id="647"/>
      <w:bookmarkEnd w:id="648"/>
      <w:bookmarkEnd w:id="649"/>
      <w:bookmarkEnd w:id="650"/>
      <w:bookmarkEnd w:id="651"/>
      <w:bookmarkEnd w:id="652"/>
      <w:bookmarkEnd w:id="653"/>
      <w:bookmarkEnd w:id="654"/>
    </w:p>
    <w:p w14:paraId="006CF5F3">
      <w:pPr>
        <w:rPr>
          <w:rFonts w:ascii="Times New Roman" w:hAnsi="Times New Roman"/>
        </w:rPr>
      </w:pPr>
      <w:r>
        <w:rPr>
          <w:rFonts w:ascii="Times New Roman" w:hAnsi="Times New Roman"/>
          <w:b/>
        </w:rPr>
        <w:t>12.1.1</w:t>
      </w:r>
      <w:r>
        <w:rPr>
          <w:rFonts w:ascii="Times New Roman" w:hAnsi="Times New Roman"/>
        </w:rPr>
        <w:t xml:space="preserve">  质量保证期管理是按照合同约定的期限和范围，对承包人质量保证责任履行情况实施监督、检查、处理的延续性管理活动。</w:t>
      </w:r>
    </w:p>
    <w:p w14:paraId="6F241C81">
      <w:pPr>
        <w:rPr>
          <w:rFonts w:ascii="Times New Roman" w:hAnsi="Times New Roman"/>
          <w:b/>
        </w:rPr>
      </w:pPr>
      <w:r>
        <w:rPr>
          <w:rFonts w:ascii="Times New Roman" w:hAnsi="Times New Roman"/>
          <w:b/>
        </w:rPr>
        <w:t>12.1.2</w:t>
      </w:r>
      <w:r>
        <w:rPr>
          <w:rFonts w:ascii="Times New Roman" w:hAnsi="Times New Roman"/>
        </w:rPr>
        <w:t xml:space="preserve">  质量保证期管理适用于施工、工程总承包等实体质量类合同，以及合同约定需要承担质量保证责任的其他类型合同。</w:t>
      </w:r>
    </w:p>
    <w:p w14:paraId="576667AA">
      <w:pPr>
        <w:rPr>
          <w:rFonts w:ascii="Times New Roman" w:hAnsi="Times New Roman"/>
        </w:rPr>
      </w:pPr>
      <w:r>
        <w:rPr>
          <w:rFonts w:ascii="Times New Roman" w:hAnsi="Times New Roman"/>
          <w:b/>
        </w:rPr>
        <w:t>12.1.3</w:t>
      </w:r>
      <w:r>
        <w:rPr>
          <w:rFonts w:ascii="Times New Roman" w:hAnsi="Times New Roman"/>
        </w:rPr>
        <w:t xml:space="preserve">  质量保证期管理应遵循责任明确、响应及时、过程可溯的原则。</w:t>
      </w:r>
    </w:p>
    <w:p w14:paraId="0EA3D23B">
      <w:pPr>
        <w:pStyle w:val="3"/>
      </w:pPr>
      <w:bookmarkStart w:id="655" w:name="_Toc1833171793"/>
      <w:bookmarkStart w:id="656" w:name="_Toc1532641407"/>
      <w:bookmarkStart w:id="657" w:name="_Toc1191091637"/>
      <w:bookmarkStart w:id="658" w:name="_Toc488880555"/>
      <w:bookmarkStart w:id="659" w:name="_Toc1613872441"/>
      <w:bookmarkStart w:id="660" w:name="_Toc231665570"/>
      <w:bookmarkStart w:id="661" w:name="_Toc1222134004"/>
      <w:bookmarkStart w:id="662" w:name="_Toc1142587707"/>
      <w:bookmarkStart w:id="663" w:name="_Toc1838756809"/>
      <w:r>
        <w:t>12.2  质量保证责任</w:t>
      </w:r>
      <w:bookmarkEnd w:id="655"/>
      <w:bookmarkEnd w:id="656"/>
      <w:bookmarkEnd w:id="657"/>
      <w:bookmarkEnd w:id="658"/>
      <w:bookmarkEnd w:id="659"/>
      <w:bookmarkEnd w:id="660"/>
      <w:bookmarkEnd w:id="661"/>
      <w:bookmarkEnd w:id="662"/>
      <w:bookmarkEnd w:id="663"/>
    </w:p>
    <w:p w14:paraId="3DC4E35F">
      <w:pPr>
        <w:rPr>
          <w:rFonts w:ascii="Times New Roman" w:hAnsi="Times New Roman"/>
        </w:rPr>
      </w:pPr>
      <w:r>
        <w:rPr>
          <w:rFonts w:ascii="Times New Roman" w:hAnsi="Times New Roman"/>
          <w:b/>
        </w:rPr>
        <w:t>12.2.1</w:t>
      </w:r>
      <w:r>
        <w:rPr>
          <w:rFonts w:ascii="Times New Roman" w:hAnsi="Times New Roman"/>
        </w:rPr>
        <w:t xml:space="preserve">  承包人应在质量保证期内对工作成果的质量承担保证责任，确保工作成果持续满足合同约定的质量标准和性能要求。</w:t>
      </w:r>
    </w:p>
    <w:p w14:paraId="4553875B">
      <w:pPr>
        <w:rPr>
          <w:rFonts w:ascii="Times New Roman" w:hAnsi="Times New Roman"/>
        </w:rPr>
      </w:pPr>
      <w:r>
        <w:rPr>
          <w:rFonts w:ascii="Times New Roman" w:hAnsi="Times New Roman"/>
          <w:b/>
        </w:rPr>
        <w:t>12.2.2</w:t>
      </w:r>
      <w:r>
        <w:rPr>
          <w:rFonts w:ascii="Times New Roman" w:hAnsi="Times New Roman"/>
        </w:rPr>
        <w:t xml:space="preserve">  因承包人原因导致工作成果出现质量缺陷的，承包人应承担免费维修、更换或整改责任。</w:t>
      </w:r>
    </w:p>
    <w:p w14:paraId="307C91B7">
      <w:pPr>
        <w:rPr>
          <w:rFonts w:ascii="Times New Roman" w:hAnsi="Times New Roman"/>
        </w:rPr>
      </w:pPr>
      <w:r>
        <w:rPr>
          <w:rFonts w:ascii="Times New Roman" w:hAnsi="Times New Roman"/>
          <w:b/>
        </w:rPr>
        <w:t>12.2.3</w:t>
      </w:r>
      <w:r>
        <w:rPr>
          <w:rFonts w:ascii="Times New Roman" w:hAnsi="Times New Roman"/>
        </w:rPr>
        <w:t xml:space="preserve">  因发包人使用不当、不可抗力或第三方原因导致的质量缺陷，承包人可提供维修服务，费用由责任方承担。责任归属发生争议的，按合同约定的争议解决方式处理。</w:t>
      </w:r>
    </w:p>
    <w:p w14:paraId="35EEE349">
      <w:pPr>
        <w:pStyle w:val="3"/>
      </w:pPr>
      <w:bookmarkStart w:id="664" w:name="_Toc393117351"/>
      <w:bookmarkStart w:id="665" w:name="_Toc231665571"/>
      <w:bookmarkStart w:id="666" w:name="_Toc578445840"/>
      <w:bookmarkStart w:id="667" w:name="_Toc1940092721"/>
      <w:bookmarkStart w:id="668" w:name="_Toc704451036"/>
      <w:bookmarkStart w:id="669" w:name="_Toc62002538"/>
      <w:bookmarkStart w:id="670" w:name="_Toc1794528223"/>
      <w:bookmarkStart w:id="671" w:name="_Toc456556084"/>
      <w:bookmarkStart w:id="672" w:name="_Toc846560519"/>
      <w:r>
        <w:t>12.3  质量缺陷的处理</w:t>
      </w:r>
      <w:bookmarkEnd w:id="664"/>
      <w:bookmarkEnd w:id="665"/>
      <w:bookmarkEnd w:id="666"/>
      <w:bookmarkEnd w:id="667"/>
      <w:bookmarkEnd w:id="668"/>
      <w:bookmarkEnd w:id="669"/>
      <w:bookmarkEnd w:id="670"/>
      <w:bookmarkEnd w:id="671"/>
      <w:bookmarkEnd w:id="672"/>
    </w:p>
    <w:p w14:paraId="28923E23">
      <w:pPr>
        <w:rPr>
          <w:rFonts w:ascii="Times New Roman" w:hAnsi="Times New Roman"/>
        </w:rPr>
      </w:pPr>
      <w:r>
        <w:rPr>
          <w:rFonts w:ascii="Times New Roman" w:hAnsi="Times New Roman"/>
          <w:b/>
        </w:rPr>
        <w:t>12.3.1</w:t>
      </w:r>
      <w:r>
        <w:rPr>
          <w:rFonts w:ascii="Times New Roman" w:hAnsi="Times New Roman"/>
        </w:rPr>
        <w:t xml:space="preserve">  质量保证期内，发包人应建立质量缺陷登记制度，对发现的质量缺陷进行记录，内容包括缺陷描述、发现时间、部位、影响程度等。</w:t>
      </w:r>
    </w:p>
    <w:p w14:paraId="0D669DA8">
      <w:pPr>
        <w:rPr>
          <w:rFonts w:ascii="Times New Roman" w:hAnsi="Times New Roman"/>
        </w:rPr>
      </w:pPr>
      <w:r>
        <w:rPr>
          <w:rFonts w:ascii="Times New Roman" w:hAnsi="Times New Roman"/>
          <w:b/>
        </w:rPr>
        <w:t>12.3.2</w:t>
      </w:r>
      <w:r>
        <w:rPr>
          <w:rFonts w:ascii="Times New Roman" w:hAnsi="Times New Roman"/>
        </w:rPr>
        <w:t xml:space="preserve">  发包人发现质量缺陷后，应及时书面通知承包人，明确缺陷内容、现场情况及处理时限要求。</w:t>
      </w:r>
    </w:p>
    <w:p w14:paraId="34BB00D0">
      <w:pPr>
        <w:rPr>
          <w:rFonts w:ascii="Times New Roman" w:hAnsi="Times New Roman"/>
        </w:rPr>
      </w:pPr>
      <w:r>
        <w:rPr>
          <w:rFonts w:ascii="Times New Roman" w:hAnsi="Times New Roman"/>
          <w:b/>
        </w:rPr>
        <w:t>12.3.3</w:t>
      </w:r>
      <w:r>
        <w:rPr>
          <w:rFonts w:ascii="Times New Roman" w:hAnsi="Times New Roman"/>
        </w:rPr>
        <w:t xml:space="preserve">  承包人收到通知后，应在约定时限内派员现场查验，制定处理方案报发包人确认后实施。</w:t>
      </w:r>
    </w:p>
    <w:p w14:paraId="051AE9AF">
      <w:pPr>
        <w:rPr>
          <w:rFonts w:ascii="Times New Roman" w:hAnsi="Times New Roman"/>
        </w:rPr>
      </w:pPr>
      <w:r>
        <w:rPr>
          <w:rFonts w:ascii="Times New Roman" w:hAnsi="Times New Roman"/>
          <w:b/>
        </w:rPr>
        <w:t>12.3.4</w:t>
      </w:r>
      <w:r>
        <w:rPr>
          <w:rFonts w:ascii="Times New Roman" w:hAnsi="Times New Roman"/>
        </w:rPr>
        <w:t xml:space="preserve">  处理完成后，承包人应书面报告处理结果，发包人组织验收确认。确认合格的予以登记销项；未达要求的，承包人应继续处理直至验收合格。</w:t>
      </w:r>
    </w:p>
    <w:p w14:paraId="748381F0">
      <w:pPr>
        <w:rPr>
          <w:rFonts w:ascii="Times New Roman" w:hAnsi="Times New Roman"/>
        </w:rPr>
      </w:pPr>
      <w:r>
        <w:rPr>
          <w:rFonts w:ascii="Times New Roman" w:hAnsi="Times New Roman"/>
          <w:b/>
        </w:rPr>
        <w:t>12.3.5</w:t>
      </w:r>
      <w:r>
        <w:rPr>
          <w:rFonts w:ascii="Times New Roman" w:hAnsi="Times New Roman"/>
        </w:rPr>
        <w:t xml:space="preserve">  承包人未按约定时限响应或未按要求处理的，发包人可委托第三方处理，所发生的费用从质量保证金中扣除，不足部分向承包人追偿，并按合同约定追究违约责任。</w:t>
      </w:r>
    </w:p>
    <w:p w14:paraId="741CCA32">
      <w:pPr>
        <w:rPr>
          <w:rFonts w:ascii="Times New Roman" w:hAnsi="Times New Roman"/>
        </w:rPr>
      </w:pPr>
      <w:r>
        <w:rPr>
          <w:rFonts w:ascii="Times New Roman" w:hAnsi="Times New Roman"/>
          <w:b/>
        </w:rPr>
        <w:t>12.3.6</w:t>
      </w:r>
      <w:r>
        <w:rPr>
          <w:rFonts w:ascii="Times New Roman" w:hAnsi="Times New Roman"/>
        </w:rPr>
        <w:t xml:space="preserve">  质量缺陷的处理记录、验收记录应纳入质量保证期管理档案，作为质量保证金返还和信用管理的依据。</w:t>
      </w:r>
    </w:p>
    <w:p w14:paraId="0F85E3AB">
      <w:pPr>
        <w:pStyle w:val="3"/>
      </w:pPr>
      <w:bookmarkStart w:id="673" w:name="_Toc1637766720"/>
      <w:bookmarkStart w:id="674" w:name="_Toc1792594632"/>
      <w:bookmarkStart w:id="675" w:name="_Toc1822705843"/>
      <w:bookmarkStart w:id="676" w:name="_Toc324749834"/>
      <w:bookmarkStart w:id="677" w:name="_Toc1956876327"/>
      <w:bookmarkStart w:id="678" w:name="_Toc231665572"/>
      <w:bookmarkStart w:id="679" w:name="_Toc445077430"/>
      <w:bookmarkStart w:id="680" w:name="_Toc767703740"/>
      <w:bookmarkStart w:id="681" w:name="_Toc725820656"/>
      <w:r>
        <w:t>12.4  质量保证金管理</w:t>
      </w:r>
      <w:bookmarkEnd w:id="673"/>
      <w:bookmarkEnd w:id="674"/>
      <w:bookmarkEnd w:id="675"/>
      <w:bookmarkEnd w:id="676"/>
      <w:bookmarkEnd w:id="677"/>
      <w:bookmarkEnd w:id="678"/>
      <w:bookmarkEnd w:id="679"/>
      <w:bookmarkEnd w:id="680"/>
      <w:bookmarkEnd w:id="681"/>
    </w:p>
    <w:p w14:paraId="1E7BC235">
      <w:pPr>
        <w:rPr>
          <w:rFonts w:ascii="Times New Roman" w:hAnsi="Times New Roman"/>
        </w:rPr>
      </w:pPr>
      <w:r>
        <w:rPr>
          <w:rFonts w:ascii="Times New Roman" w:hAnsi="Times New Roman"/>
          <w:b/>
        </w:rPr>
        <w:t>12.4.1</w:t>
      </w:r>
      <w:r>
        <w:rPr>
          <w:rFonts w:ascii="Times New Roman" w:hAnsi="Times New Roman"/>
        </w:rPr>
        <w:t xml:space="preserve">  质量保证金的预留、使用和返还应符合法律法规及合同约定。预留比例不得超过国家规定的上限。</w:t>
      </w:r>
    </w:p>
    <w:p w14:paraId="0CD62FBE">
      <w:pPr>
        <w:rPr>
          <w:rFonts w:ascii="Times New Roman" w:hAnsi="Times New Roman"/>
        </w:rPr>
      </w:pPr>
      <w:r>
        <w:rPr>
          <w:rFonts w:ascii="Times New Roman" w:hAnsi="Times New Roman"/>
          <w:b/>
        </w:rPr>
        <w:t>12.4.2</w:t>
      </w:r>
      <w:r>
        <w:rPr>
          <w:rFonts w:ascii="Times New Roman" w:hAnsi="Times New Roman"/>
        </w:rPr>
        <w:t xml:space="preserve">  发包人应建立质量保证金管理台账，记录保证金的预留金额、缺陷处理扣款、返还金额等事项。</w:t>
      </w:r>
    </w:p>
    <w:p w14:paraId="0FF24040">
      <w:pPr>
        <w:rPr>
          <w:rFonts w:ascii="Times New Roman" w:hAnsi="Times New Roman"/>
        </w:rPr>
      </w:pPr>
      <w:r>
        <w:rPr>
          <w:rFonts w:ascii="Times New Roman" w:hAnsi="Times New Roman"/>
          <w:b/>
        </w:rPr>
        <w:t>12.4.3</w:t>
      </w:r>
      <w:r>
        <w:rPr>
          <w:rFonts w:ascii="Times New Roman" w:hAnsi="Times New Roman"/>
        </w:rPr>
        <w:t xml:space="preserve">  缺陷责任期届满后，发包人应组织核查。经核查无未处理质量缺陷的，发包人应在规定期限内办理质量保证金返还手续。</w:t>
      </w:r>
    </w:p>
    <w:p w14:paraId="5B97A1E1">
      <w:pPr>
        <w:rPr>
          <w:rFonts w:ascii="Times New Roman" w:hAnsi="Times New Roman"/>
        </w:rPr>
      </w:pPr>
      <w:r>
        <w:rPr>
          <w:rFonts w:ascii="Times New Roman" w:hAnsi="Times New Roman"/>
          <w:b/>
        </w:rPr>
        <w:t>12.4.4</w:t>
      </w:r>
      <w:r>
        <w:rPr>
          <w:rFonts w:ascii="Times New Roman" w:hAnsi="Times New Roman"/>
        </w:rPr>
        <w:t xml:space="preserve">  存在未处理质量缺陷的，发包人可暂扣相应金额的保证金用于缺陷处理。缺陷处理完成后，剩余部分应返还承包人，不足部分发包人有权向承包人追偿。</w:t>
      </w:r>
    </w:p>
    <w:p w14:paraId="632A0B47">
      <w:pPr>
        <w:rPr>
          <w:rFonts w:ascii="Times New Roman" w:hAnsi="Times New Roman"/>
        </w:rPr>
      </w:pPr>
      <w:r>
        <w:rPr>
          <w:rFonts w:ascii="Times New Roman" w:hAnsi="Times New Roman"/>
          <w:b/>
        </w:rPr>
        <w:t>12.4.5</w:t>
      </w:r>
      <w:r>
        <w:rPr>
          <w:rFonts w:ascii="Times New Roman" w:hAnsi="Times New Roman"/>
        </w:rPr>
        <w:t xml:space="preserve">  质量保证金返还后，承包人依法应承担的质量责任不因保证金的返还而免除。</w:t>
      </w:r>
    </w:p>
    <w:p w14:paraId="5EFF9B20">
      <w:pPr>
        <w:pStyle w:val="3"/>
      </w:pPr>
      <w:bookmarkStart w:id="682" w:name="_Toc1782368830"/>
      <w:bookmarkStart w:id="683" w:name="_Toc1813507917"/>
      <w:bookmarkStart w:id="684" w:name="_Toc231665573"/>
      <w:bookmarkStart w:id="685" w:name="_Toc1549509042"/>
      <w:bookmarkStart w:id="686" w:name="_Toc348321142"/>
      <w:bookmarkStart w:id="687" w:name="_Toc1371382667"/>
      <w:bookmarkStart w:id="688" w:name="_Toc25984338"/>
      <w:bookmarkStart w:id="689" w:name="_Toc1650159851"/>
      <w:bookmarkStart w:id="690" w:name="_Toc549464632"/>
      <w:r>
        <w:t>12.5  质量保证期满与档案移交</w:t>
      </w:r>
      <w:bookmarkEnd w:id="682"/>
      <w:bookmarkEnd w:id="683"/>
      <w:bookmarkEnd w:id="684"/>
      <w:bookmarkEnd w:id="685"/>
      <w:bookmarkEnd w:id="686"/>
      <w:bookmarkEnd w:id="687"/>
      <w:bookmarkEnd w:id="688"/>
      <w:bookmarkEnd w:id="689"/>
      <w:bookmarkEnd w:id="690"/>
    </w:p>
    <w:p w14:paraId="0EEF0FE4">
      <w:pPr>
        <w:rPr>
          <w:rFonts w:ascii="Times New Roman" w:hAnsi="Times New Roman"/>
        </w:rPr>
      </w:pPr>
      <w:r>
        <w:rPr>
          <w:rFonts w:ascii="Times New Roman" w:hAnsi="Times New Roman"/>
          <w:b/>
        </w:rPr>
        <w:t>12.5.1</w:t>
      </w:r>
      <w:r>
        <w:rPr>
          <w:rFonts w:ascii="Times New Roman" w:hAnsi="Times New Roman"/>
        </w:rPr>
        <w:t xml:space="preserve">  质量保证期届满，发包人应组织对质量保证期内质量缺陷处理情况进行全面核查，确认所有质量缺陷均已处理完毕或已落实处理方案。</w:t>
      </w:r>
    </w:p>
    <w:p w14:paraId="04415B93">
      <w:pPr>
        <w:rPr>
          <w:rFonts w:ascii="Times New Roman" w:hAnsi="Times New Roman"/>
        </w:rPr>
      </w:pPr>
      <w:r>
        <w:rPr>
          <w:rFonts w:ascii="Times New Roman" w:hAnsi="Times New Roman"/>
          <w:b/>
        </w:rPr>
        <w:t>12.5.2</w:t>
      </w:r>
      <w:r>
        <w:rPr>
          <w:rFonts w:ascii="Times New Roman" w:hAnsi="Times New Roman"/>
        </w:rPr>
        <w:t xml:space="preserve">  发包人应编制质量保证期管理报告，内容包括质量缺陷登记、处理情况、保证金使用情况及期满核查结论。</w:t>
      </w:r>
    </w:p>
    <w:p w14:paraId="5A62BD4A">
      <w:pPr>
        <w:rPr>
          <w:rFonts w:ascii="Times New Roman" w:hAnsi="Times New Roman"/>
        </w:rPr>
      </w:pPr>
      <w:r>
        <w:rPr>
          <w:rFonts w:ascii="Times New Roman" w:hAnsi="Times New Roman"/>
          <w:b/>
        </w:rPr>
        <w:t>12.5.3</w:t>
      </w:r>
      <w:r>
        <w:rPr>
          <w:rFonts w:ascii="Times New Roman" w:hAnsi="Times New Roman"/>
        </w:rPr>
        <w:t xml:space="preserve">  质量保证期管理报告及相关记录应纳入工程档案，作为项目履约管理全过程的组成部分归档保存。</w:t>
      </w:r>
    </w:p>
    <w:p w14:paraId="1904A424">
      <w:pPr>
        <w:pStyle w:val="2"/>
        <w:rPr>
          <w:color w:val="000000" w:themeColor="text1"/>
          <w14:textFill>
            <w14:solidFill>
              <w14:schemeClr w14:val="tx1"/>
            </w14:solidFill>
          </w14:textFill>
        </w:rPr>
      </w:pPr>
      <w:r>
        <w:br w:type="page"/>
      </w:r>
      <w:bookmarkStart w:id="691" w:name="_Toc1411812315"/>
      <w:bookmarkStart w:id="692" w:name="_Toc1011647690"/>
      <w:bookmarkStart w:id="693" w:name="_Toc1733307183"/>
      <w:bookmarkStart w:id="694" w:name="_Toc895926055"/>
      <w:bookmarkStart w:id="695" w:name="_Toc653710817"/>
      <w:bookmarkStart w:id="696" w:name="_Toc231665574"/>
      <w:bookmarkStart w:id="697" w:name="_Toc30846900"/>
      <w:bookmarkStart w:id="698" w:name="_Toc1302925621"/>
      <w:bookmarkStart w:id="699" w:name="_Toc456421639"/>
      <w:r>
        <w:rPr>
          <w:color w:val="000000" w:themeColor="text1"/>
          <w14:textFill>
            <w14:solidFill>
              <w14:schemeClr w14:val="tx1"/>
            </w14:solidFill>
          </w14:textFill>
        </w:rPr>
        <w:t>13  履约评价和信用管理</w:t>
      </w:r>
      <w:bookmarkEnd w:id="691"/>
      <w:bookmarkEnd w:id="692"/>
      <w:bookmarkEnd w:id="693"/>
      <w:bookmarkEnd w:id="694"/>
      <w:bookmarkEnd w:id="695"/>
      <w:bookmarkEnd w:id="696"/>
      <w:bookmarkEnd w:id="697"/>
      <w:bookmarkEnd w:id="698"/>
      <w:bookmarkEnd w:id="699"/>
    </w:p>
    <w:p w14:paraId="6219ADE7">
      <w:pPr>
        <w:pStyle w:val="3"/>
        <w:rPr>
          <w:color w:val="000000" w:themeColor="text1"/>
          <w14:textFill>
            <w14:solidFill>
              <w14:schemeClr w14:val="tx1"/>
            </w14:solidFill>
          </w14:textFill>
        </w:rPr>
      </w:pPr>
      <w:bookmarkStart w:id="700" w:name="_Toc1699443446"/>
      <w:bookmarkStart w:id="701" w:name="_Toc231665575"/>
      <w:bookmarkStart w:id="702" w:name="_Toc588522740"/>
      <w:bookmarkStart w:id="703" w:name="_Toc1960939335"/>
      <w:bookmarkStart w:id="704" w:name="_Toc1099735690"/>
      <w:bookmarkStart w:id="705" w:name="_Toc2102481511"/>
      <w:bookmarkStart w:id="706" w:name="_Toc1673452158"/>
      <w:bookmarkStart w:id="707" w:name="_Toc1854767342"/>
      <w:bookmarkStart w:id="708" w:name="_Toc1439063927"/>
      <w:r>
        <w:rPr>
          <w:color w:val="000000" w:themeColor="text1"/>
          <w14:textFill>
            <w14:solidFill>
              <w14:schemeClr w14:val="tx1"/>
            </w14:solidFill>
          </w14:textFill>
        </w:rPr>
        <w:t>13.1  一般规定</w:t>
      </w:r>
      <w:bookmarkEnd w:id="700"/>
      <w:bookmarkEnd w:id="701"/>
      <w:bookmarkEnd w:id="702"/>
      <w:bookmarkEnd w:id="703"/>
      <w:bookmarkEnd w:id="704"/>
      <w:bookmarkEnd w:id="705"/>
      <w:bookmarkEnd w:id="706"/>
      <w:bookmarkEnd w:id="707"/>
      <w:bookmarkEnd w:id="708"/>
    </w:p>
    <w:p w14:paraId="0E3152EF">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13.1.1</w:t>
      </w:r>
      <w:r>
        <w:rPr>
          <w:rFonts w:ascii="Times New Roman" w:hAnsi="Times New Roman"/>
          <w:color w:val="000000" w:themeColor="text1"/>
          <w14:textFill>
            <w14:solidFill>
              <w14:schemeClr w14:val="tx1"/>
            </w14:solidFill>
          </w14:textFill>
        </w:rPr>
        <w:t xml:space="preserve">  发包人应建立履约评价制度，明确评价标准、评分细则、评价程序和结果应用方式，并告知承包人。</w:t>
      </w:r>
    </w:p>
    <w:p w14:paraId="15475067">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13.1.2</w:t>
      </w:r>
      <w:r>
        <w:rPr>
          <w:rFonts w:ascii="Times New Roman" w:hAnsi="Times New Roman"/>
          <w:color w:val="000000" w:themeColor="text1"/>
          <w14:textFill>
            <w14:solidFill>
              <w14:schemeClr w14:val="tx1"/>
            </w14:solidFill>
          </w14:textFill>
        </w:rPr>
        <w:t xml:space="preserve">  履约评价应遵循客观公正、标准统一、量化为主、定性为辅的原则。</w:t>
      </w:r>
    </w:p>
    <w:p w14:paraId="6BE42E05">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13.1.3</w:t>
      </w:r>
      <w:r>
        <w:rPr>
          <w:rFonts w:ascii="Times New Roman" w:hAnsi="Times New Roman"/>
          <w:color w:val="000000" w:themeColor="text1"/>
          <w14:textFill>
            <w14:solidFill>
              <w14:schemeClr w14:val="tx1"/>
            </w14:solidFill>
          </w14:textFill>
        </w:rPr>
        <w:t xml:space="preserve">  发包人应对各类合同的承包人分别开展履约评价。评价可涵盖过程评价和综合评价，过程评价结果可作为综合评价的组成部分。</w:t>
      </w:r>
    </w:p>
    <w:p w14:paraId="2BC67545">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13.1.4</w:t>
      </w:r>
      <w:r>
        <w:rPr>
          <w:rFonts w:ascii="Times New Roman" w:hAnsi="Times New Roman"/>
          <w:color w:val="000000" w:themeColor="text1"/>
          <w14:textFill>
            <w14:solidFill>
              <w14:schemeClr w14:val="tx1"/>
            </w14:solidFill>
          </w14:textFill>
        </w:rPr>
        <w:t xml:space="preserve">  履约评价结果应作为信用联动的基础。发包人应将履约评价结果纳入信用管理，推动履约评价与招标投标市场信用体系有效衔接。</w:t>
      </w:r>
    </w:p>
    <w:p w14:paraId="778DB0DA">
      <w:pPr>
        <w:pStyle w:val="3"/>
        <w:rPr>
          <w:color w:val="000000" w:themeColor="text1"/>
          <w14:textFill>
            <w14:solidFill>
              <w14:schemeClr w14:val="tx1"/>
            </w14:solidFill>
          </w14:textFill>
        </w:rPr>
      </w:pPr>
      <w:bookmarkStart w:id="709" w:name="_Toc1648019443"/>
      <w:bookmarkStart w:id="710" w:name="_Toc461736103"/>
      <w:bookmarkStart w:id="711" w:name="_Toc477096266"/>
      <w:bookmarkStart w:id="712" w:name="_Toc574843509"/>
      <w:bookmarkStart w:id="713" w:name="_Toc1176340276"/>
      <w:bookmarkStart w:id="714" w:name="_Toc52192515"/>
      <w:bookmarkStart w:id="715" w:name="_Toc231665576"/>
      <w:bookmarkStart w:id="716" w:name="_Toc1485028223"/>
      <w:bookmarkStart w:id="717" w:name="_Toc1404261177"/>
      <w:r>
        <w:rPr>
          <w:color w:val="000000" w:themeColor="text1"/>
          <w14:textFill>
            <w14:solidFill>
              <w14:schemeClr w14:val="tx1"/>
            </w14:solidFill>
          </w14:textFill>
        </w:rPr>
        <w:t>13.2  评价指标体系</w:t>
      </w:r>
      <w:bookmarkEnd w:id="709"/>
      <w:bookmarkEnd w:id="710"/>
      <w:bookmarkEnd w:id="711"/>
      <w:bookmarkEnd w:id="712"/>
      <w:bookmarkEnd w:id="713"/>
      <w:bookmarkEnd w:id="714"/>
      <w:bookmarkEnd w:id="715"/>
      <w:bookmarkEnd w:id="716"/>
      <w:bookmarkEnd w:id="717"/>
    </w:p>
    <w:p w14:paraId="11C6A4C4">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 xml:space="preserve">13.2.1  </w:t>
      </w:r>
      <w:r>
        <w:rPr>
          <w:rFonts w:ascii="Times New Roman" w:hAnsi="Times New Roman"/>
          <w:color w:val="000000" w:themeColor="text1"/>
          <w14:textFill>
            <w14:solidFill>
              <w14:schemeClr w14:val="tx1"/>
            </w14:solidFill>
          </w14:textFill>
        </w:rPr>
        <w:t>履约评价</w:t>
      </w:r>
      <w:r>
        <w:rPr>
          <w:rFonts w:hint="eastAsia" w:ascii="Times New Roman" w:hAnsi="Times New Roman"/>
          <w:color w:val="000000" w:themeColor="text1"/>
          <w14:textFill>
            <w14:solidFill>
              <w14:schemeClr w14:val="tx1"/>
            </w14:solidFill>
          </w14:textFill>
        </w:rPr>
        <w:t>应</w:t>
      </w:r>
      <w:r>
        <w:rPr>
          <w:rFonts w:ascii="Times New Roman" w:hAnsi="Times New Roman"/>
          <w:color w:val="000000" w:themeColor="text1"/>
          <w14:textFill>
            <w14:solidFill>
              <w14:schemeClr w14:val="tx1"/>
            </w14:solidFill>
          </w14:textFill>
        </w:rPr>
        <w:t>采用多维度量化评分体系。发包人宜根据合同类型和项目特点，合理设定评价维度、权重及评分细则。</w:t>
      </w:r>
    </w:p>
    <w:p w14:paraId="0CABB990">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13.2.2</w:t>
      </w:r>
      <w:r>
        <w:rPr>
          <w:rFonts w:ascii="Times New Roman" w:hAnsi="Times New Roman"/>
          <w:color w:val="000000" w:themeColor="text1"/>
          <w14:textFill>
            <w14:solidFill>
              <w14:schemeClr w14:val="tx1"/>
            </w14:solidFill>
          </w14:textFill>
        </w:rPr>
        <w:t xml:space="preserve">  发包人可根据项目实际情况，在合同中约定调整评价维度的权重，或增设专项评价维度。权重的调整应事先明确并向承包人公开。</w:t>
      </w:r>
    </w:p>
    <w:p w14:paraId="32FA924B">
      <w:pPr>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13.2.3</w:t>
      </w:r>
      <w:r>
        <w:rPr>
          <w:rFonts w:ascii="Times New Roman" w:hAnsi="Times New Roman"/>
          <w:color w:val="000000" w:themeColor="text1"/>
          <w14:textFill>
            <w14:solidFill>
              <w14:schemeClr w14:val="tx1"/>
            </w14:solidFill>
          </w14:textFill>
        </w:rPr>
        <w:t xml:space="preserve">  各评价维度均应制定具体的评分标准和计分规则，明确加分项和扣分项的触发条件及分值，确保评分可操作、可复核。</w:t>
      </w:r>
    </w:p>
    <w:p w14:paraId="51CB1DF0">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13.2.4</w:t>
      </w:r>
      <w:r>
        <w:rPr>
          <w:rFonts w:hint="eastAsia" w:ascii="Times New Roman" w:hAnsi="Times New Roman"/>
          <w:color w:val="000000" w:themeColor="text1"/>
          <w14:textFill>
            <w14:solidFill>
              <w14:schemeClr w14:val="tx1"/>
            </w14:solidFill>
          </w14:textFill>
        </w:rPr>
        <w:t xml:space="preserve">  施工项目履约评价指标应包括：人员配置与到位、资源投入与配置、进度控制、质量控制、安全与文明施工、费用与合同管理、配合协作、履约资料管理等。发包人应建立履约评价档案，将评价结果纳入信用管理。</w:t>
      </w:r>
    </w:p>
    <w:p w14:paraId="78486018">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 xml:space="preserve">13.2.5 </w:t>
      </w:r>
      <w:r>
        <w:rPr>
          <w:rFonts w:hint="eastAsia" w:ascii="Times New Roman" w:hAnsi="Times New Roman"/>
          <w:color w:val="000000" w:themeColor="text1"/>
          <w14:textFill>
            <w14:solidFill>
              <w14:schemeClr w14:val="tx1"/>
            </w14:solidFill>
          </w14:textFill>
        </w:rPr>
        <w:t xml:space="preserve"> 工程总承包项目履约评价指标可在施工项目评价指标体系基础上，增加设计质量控制、设计进度控制、采购管理、试运行与性能考核、数智化应用等内容。</w:t>
      </w:r>
    </w:p>
    <w:p w14:paraId="0B9B65BE">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13.2.6</w:t>
      </w:r>
      <w:r>
        <w:rPr>
          <w:rFonts w:hint="eastAsia" w:ascii="Times New Roman" w:hAnsi="Times New Roman"/>
          <w:color w:val="000000" w:themeColor="text1"/>
          <w14:textFill>
            <w14:solidFill>
              <w14:schemeClr w14:val="tx1"/>
            </w14:solidFill>
          </w14:textFill>
        </w:rPr>
        <w:t xml:space="preserve">  勘察项目履约评价指标应包括：人员配置与到岗、外业作业规范性、进度控制、成果质量（含完整性、数据准确性、结论可靠性）、配合与协调等。发包人可采取随机抽查或委托第三方专业机构检测的方式进行核验。</w:t>
      </w:r>
    </w:p>
    <w:p w14:paraId="639AE896">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 xml:space="preserve">13.2.7 </w:t>
      </w:r>
      <w:r>
        <w:rPr>
          <w:rFonts w:hint="eastAsia" w:ascii="Times New Roman" w:hAnsi="Times New Roman"/>
          <w:color w:val="000000" w:themeColor="text1"/>
          <w14:textFill>
            <w14:solidFill>
              <w14:schemeClr w14:val="tx1"/>
            </w14:solidFill>
          </w14:textFill>
        </w:rPr>
        <w:t xml:space="preserve"> 设计项目履约评价指标应包括：人员配置与到岗、设计质量控制、进度控制、限额设计、现场服务、配合与协调等。</w:t>
      </w:r>
    </w:p>
    <w:p w14:paraId="48D9B608">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13.2.8</w:t>
      </w:r>
      <w:r>
        <w:rPr>
          <w:rFonts w:hint="eastAsia" w:ascii="Times New Roman" w:hAnsi="Times New Roman"/>
          <w:color w:val="000000" w:themeColor="text1"/>
          <w14:textFill>
            <w14:solidFill>
              <w14:schemeClr w14:val="tx1"/>
            </w14:solidFill>
          </w14:textFill>
        </w:rPr>
        <w:t xml:space="preserve">  监理项目履约评价指标应包括：人员配置与到岗、质量控制、进度控制、造价控制、安全监理、合同与信息管理、组织协调等。</w:t>
      </w:r>
    </w:p>
    <w:p w14:paraId="63292E31">
      <w:pPr>
        <w:pStyle w:val="3"/>
        <w:rPr>
          <w:color w:val="000000" w:themeColor="text1"/>
          <w14:textFill>
            <w14:solidFill>
              <w14:schemeClr w14:val="tx1"/>
            </w14:solidFill>
          </w14:textFill>
        </w:rPr>
      </w:pPr>
      <w:bookmarkStart w:id="718" w:name="_Toc1819638455"/>
      <w:bookmarkStart w:id="719" w:name="_Toc227370970"/>
      <w:bookmarkStart w:id="720" w:name="_Toc224609881"/>
      <w:bookmarkStart w:id="721" w:name="_Toc231665577"/>
      <w:bookmarkStart w:id="722" w:name="_Toc1680857098"/>
      <w:bookmarkStart w:id="723" w:name="_Toc1140119371"/>
      <w:bookmarkStart w:id="724" w:name="_Toc725701035"/>
      <w:bookmarkStart w:id="725" w:name="_Toc1828909691"/>
      <w:bookmarkStart w:id="726" w:name="_Toc107082735"/>
      <w:r>
        <w:rPr>
          <w:color w:val="000000" w:themeColor="text1"/>
          <w14:textFill>
            <w14:solidFill>
              <w14:schemeClr w14:val="tx1"/>
            </w14:solidFill>
          </w14:textFill>
        </w:rPr>
        <w:t>13.3  履约信息的采集</w:t>
      </w:r>
      <w:bookmarkEnd w:id="718"/>
      <w:bookmarkEnd w:id="719"/>
      <w:bookmarkEnd w:id="720"/>
      <w:bookmarkEnd w:id="721"/>
      <w:bookmarkEnd w:id="722"/>
      <w:bookmarkEnd w:id="723"/>
      <w:bookmarkEnd w:id="724"/>
      <w:bookmarkEnd w:id="725"/>
      <w:bookmarkEnd w:id="726"/>
    </w:p>
    <w:p w14:paraId="3DDDED1C">
      <w:pPr>
        <w:rPr>
          <w:rFonts w:ascii="Times New Roman" w:hAnsi="Times New Roman"/>
        </w:rPr>
      </w:pPr>
      <w:r>
        <w:rPr>
          <w:rFonts w:ascii="Times New Roman" w:hAnsi="Times New Roman"/>
          <w:b/>
        </w:rPr>
        <w:t>13.3.1</w:t>
      </w:r>
      <w:r>
        <w:rPr>
          <w:rFonts w:ascii="Times New Roman" w:hAnsi="Times New Roman"/>
        </w:rPr>
        <w:t xml:space="preserve">  发包人应建立履约信息采集机制，系统采集与评价维度相对应的履约信息。</w:t>
      </w:r>
    </w:p>
    <w:p w14:paraId="05DE26D0">
      <w:pPr>
        <w:rPr>
          <w:rFonts w:ascii="Times New Roman" w:hAnsi="Times New Roman"/>
        </w:rPr>
      </w:pPr>
      <w:r>
        <w:rPr>
          <w:rFonts w:ascii="Times New Roman" w:hAnsi="Times New Roman"/>
          <w:b/>
        </w:rPr>
        <w:t>13.3.2</w:t>
      </w:r>
      <w:r>
        <w:rPr>
          <w:rFonts w:ascii="Times New Roman" w:hAnsi="Times New Roman"/>
        </w:rPr>
        <w:t xml:space="preserve">  履约信息采集的主要渠道包括：</w:t>
      </w:r>
    </w:p>
    <w:p w14:paraId="3683B2A9">
      <w:pPr>
        <w:ind w:firstLine="420"/>
        <w:rPr>
          <w:rFonts w:ascii="Times New Roman" w:hAnsi="Times New Roman"/>
        </w:rPr>
      </w:pPr>
      <w:r>
        <w:rPr>
          <w:rFonts w:ascii="Times New Roman" w:hAnsi="Times New Roman"/>
        </w:rPr>
        <w:t>1  合同履行全过程的检查、整改、验收记录；</w:t>
      </w:r>
    </w:p>
    <w:p w14:paraId="7569C09A">
      <w:pPr>
        <w:ind w:firstLine="420"/>
        <w:rPr>
          <w:rFonts w:ascii="Times New Roman" w:hAnsi="Times New Roman"/>
        </w:rPr>
      </w:pPr>
      <w:r>
        <w:rPr>
          <w:rFonts w:ascii="Times New Roman" w:hAnsi="Times New Roman"/>
        </w:rPr>
        <w:t>2  履约管理记录汇总表及履约验收报告；</w:t>
      </w:r>
    </w:p>
    <w:p w14:paraId="750ED186">
      <w:pPr>
        <w:ind w:firstLine="420"/>
        <w:rPr>
          <w:rFonts w:ascii="Times New Roman" w:hAnsi="Times New Roman"/>
        </w:rPr>
      </w:pPr>
      <w:r>
        <w:rPr>
          <w:rFonts w:ascii="Times New Roman" w:hAnsi="Times New Roman"/>
        </w:rPr>
        <w:t>3  现场巡查及专项检查记录；</w:t>
      </w:r>
    </w:p>
    <w:p w14:paraId="5488EC01">
      <w:pPr>
        <w:ind w:firstLine="420"/>
        <w:rPr>
          <w:rFonts w:ascii="Times New Roman" w:hAnsi="Times New Roman"/>
        </w:rPr>
      </w:pPr>
      <w:r>
        <w:rPr>
          <w:rFonts w:ascii="Times New Roman" w:hAnsi="Times New Roman"/>
        </w:rPr>
        <w:t>4  行业主管部门的检查通报、奖惩文件；</w:t>
      </w:r>
    </w:p>
    <w:p w14:paraId="23D2B29D">
      <w:pPr>
        <w:ind w:firstLine="420"/>
        <w:rPr>
          <w:rFonts w:ascii="Times New Roman" w:hAnsi="Times New Roman"/>
        </w:rPr>
      </w:pPr>
      <w:r>
        <w:rPr>
          <w:rFonts w:ascii="Times New Roman" w:hAnsi="Times New Roman"/>
        </w:rPr>
        <w:t>5  承包人提交的履约报告及相关资料；</w:t>
      </w:r>
    </w:p>
    <w:p w14:paraId="651AF91D">
      <w:pPr>
        <w:ind w:firstLine="420"/>
        <w:rPr>
          <w:rFonts w:ascii="Times New Roman" w:hAnsi="Times New Roman"/>
        </w:rPr>
      </w:pPr>
      <w:r>
        <w:rPr>
          <w:rFonts w:ascii="Times New Roman" w:hAnsi="Times New Roman"/>
        </w:rPr>
        <w:t>6  数字化管理平台自动采集的数据。</w:t>
      </w:r>
    </w:p>
    <w:p w14:paraId="56D3C3B2">
      <w:pPr>
        <w:rPr>
          <w:rFonts w:ascii="Times New Roman" w:hAnsi="Times New Roman"/>
        </w:rPr>
      </w:pPr>
      <w:r>
        <w:rPr>
          <w:rFonts w:ascii="Times New Roman" w:hAnsi="Times New Roman"/>
          <w:b/>
        </w:rPr>
        <w:t>13.3.3</w:t>
      </w:r>
      <w:r>
        <w:rPr>
          <w:rFonts w:ascii="Times New Roman" w:hAnsi="Times New Roman"/>
        </w:rPr>
        <w:t xml:space="preserve">  发包人应建立履约信息台账，对采集的信息进行分类、整理、核实，确保信息真实、完整、可追溯，保存期限不少于15年。</w:t>
      </w:r>
    </w:p>
    <w:p w14:paraId="15076EAA">
      <w:pPr>
        <w:rPr>
          <w:rFonts w:ascii="Times New Roman" w:hAnsi="Times New Roman"/>
        </w:rPr>
      </w:pPr>
      <w:r>
        <w:rPr>
          <w:rFonts w:ascii="Times New Roman" w:hAnsi="Times New Roman"/>
          <w:b/>
        </w:rPr>
        <w:t>13.3.4</w:t>
      </w:r>
      <w:r>
        <w:rPr>
          <w:rFonts w:ascii="Times New Roman" w:hAnsi="Times New Roman"/>
        </w:rPr>
        <w:t xml:space="preserve">  履约信息的采集应贯穿合同履行全过程，实行动态更新。</w:t>
      </w:r>
    </w:p>
    <w:p w14:paraId="592D31EB">
      <w:pPr>
        <w:pStyle w:val="3"/>
      </w:pPr>
      <w:bookmarkStart w:id="727" w:name="_Toc1437890866"/>
      <w:bookmarkStart w:id="728" w:name="_Toc231665578"/>
      <w:bookmarkStart w:id="729" w:name="_Toc179803939"/>
      <w:bookmarkStart w:id="730" w:name="_Toc1625040462"/>
      <w:bookmarkStart w:id="731" w:name="_Toc1547942985"/>
      <w:bookmarkStart w:id="732" w:name="_Toc594833614"/>
      <w:bookmarkStart w:id="733" w:name="_Toc498897215"/>
      <w:bookmarkStart w:id="734" w:name="_Toc787778029"/>
      <w:bookmarkStart w:id="735" w:name="_Toc1449533063"/>
      <w:r>
        <w:t>13.4  评价方法与程序</w:t>
      </w:r>
      <w:bookmarkEnd w:id="727"/>
      <w:bookmarkEnd w:id="728"/>
      <w:bookmarkEnd w:id="729"/>
      <w:bookmarkEnd w:id="730"/>
      <w:bookmarkEnd w:id="731"/>
      <w:bookmarkEnd w:id="732"/>
      <w:bookmarkEnd w:id="733"/>
      <w:bookmarkEnd w:id="734"/>
      <w:bookmarkEnd w:id="735"/>
    </w:p>
    <w:p w14:paraId="35E0ED1F">
      <w:pPr>
        <w:rPr>
          <w:rFonts w:ascii="Times New Roman" w:hAnsi="Times New Roman"/>
        </w:rPr>
      </w:pPr>
      <w:r>
        <w:rPr>
          <w:rFonts w:ascii="Times New Roman" w:hAnsi="Times New Roman"/>
          <w:b/>
        </w:rPr>
        <w:t>13.4.1</w:t>
      </w:r>
      <w:r>
        <w:rPr>
          <w:rFonts w:ascii="Times New Roman" w:hAnsi="Times New Roman"/>
        </w:rPr>
        <w:t xml:space="preserve">  履约评价可采用百分制评分法或等级评定法。采用等级评定的，宜与百分制评分建立对应关系。</w:t>
      </w:r>
    </w:p>
    <w:p w14:paraId="10F5958E">
      <w:pPr>
        <w:rPr>
          <w:rFonts w:ascii="Times New Roman" w:hAnsi="Times New Roman"/>
        </w:rPr>
      </w:pPr>
      <w:r>
        <w:rPr>
          <w:rFonts w:ascii="Times New Roman" w:hAnsi="Times New Roman"/>
          <w:b/>
        </w:rPr>
        <w:t>13.4.2</w:t>
      </w:r>
      <w:r>
        <w:rPr>
          <w:rFonts w:ascii="Times New Roman" w:hAnsi="Times New Roman"/>
        </w:rPr>
        <w:t xml:space="preserve">  百分制评分与等级评定的可对应关系如下：</w:t>
      </w:r>
    </w:p>
    <w:p w14:paraId="38773384">
      <w:pPr>
        <w:ind w:firstLine="420"/>
        <w:rPr>
          <w:rFonts w:ascii="Times New Roman" w:hAnsi="Times New Roman"/>
        </w:rPr>
      </w:pPr>
      <w:r>
        <w:rPr>
          <w:rFonts w:ascii="Times New Roman" w:hAnsi="Times New Roman"/>
        </w:rPr>
        <w:t>- 90分及以上：优秀（A级）</w:t>
      </w:r>
    </w:p>
    <w:p w14:paraId="50001B01">
      <w:pPr>
        <w:ind w:firstLine="420"/>
        <w:rPr>
          <w:rFonts w:ascii="Times New Roman" w:hAnsi="Times New Roman"/>
        </w:rPr>
      </w:pPr>
      <w:r>
        <w:rPr>
          <w:rFonts w:ascii="Times New Roman" w:hAnsi="Times New Roman"/>
        </w:rPr>
        <w:t>- 80分至89分：良好（B级）</w:t>
      </w:r>
    </w:p>
    <w:p w14:paraId="2F18DD37">
      <w:pPr>
        <w:ind w:firstLine="420"/>
        <w:rPr>
          <w:rFonts w:ascii="Times New Roman" w:hAnsi="Times New Roman"/>
        </w:rPr>
      </w:pPr>
      <w:r>
        <w:rPr>
          <w:rFonts w:ascii="Times New Roman" w:hAnsi="Times New Roman"/>
        </w:rPr>
        <w:t>- 70分至79分：中等（C级）</w:t>
      </w:r>
    </w:p>
    <w:p w14:paraId="67EB5760">
      <w:pPr>
        <w:ind w:firstLine="420"/>
        <w:rPr>
          <w:rFonts w:ascii="Times New Roman" w:hAnsi="Times New Roman"/>
        </w:rPr>
      </w:pPr>
      <w:r>
        <w:rPr>
          <w:rFonts w:ascii="Times New Roman" w:hAnsi="Times New Roman"/>
        </w:rPr>
        <w:t>- 60分至69分：合格（D级）</w:t>
      </w:r>
    </w:p>
    <w:p w14:paraId="4A83FA41">
      <w:pPr>
        <w:ind w:firstLine="420"/>
        <w:rPr>
          <w:rFonts w:ascii="Times New Roman" w:hAnsi="Times New Roman"/>
        </w:rPr>
      </w:pPr>
      <w:r>
        <w:rPr>
          <w:rFonts w:ascii="Times New Roman" w:hAnsi="Times New Roman"/>
        </w:rPr>
        <w:t>- 60分以下：不合格（E级）</w:t>
      </w:r>
    </w:p>
    <w:p w14:paraId="44247D88">
      <w:pPr>
        <w:rPr>
          <w:rFonts w:ascii="Times New Roman" w:hAnsi="Times New Roman"/>
        </w:rPr>
      </w:pPr>
      <w:r>
        <w:rPr>
          <w:rFonts w:ascii="Times New Roman" w:hAnsi="Times New Roman"/>
          <w:b/>
        </w:rPr>
        <w:t>13.4.3</w:t>
      </w:r>
      <w:r>
        <w:rPr>
          <w:rFonts w:ascii="Times New Roman" w:hAnsi="Times New Roman"/>
        </w:rPr>
        <w:t xml:space="preserve">  过程评价可按月度、季度、年度或按合同约定的节点进行，由发包人依据当期采集的履约信息，按照评价指标体系进行评分。</w:t>
      </w:r>
    </w:p>
    <w:p w14:paraId="46F0B627">
      <w:pPr>
        <w:rPr>
          <w:rFonts w:ascii="Times New Roman" w:hAnsi="Times New Roman"/>
        </w:rPr>
      </w:pPr>
      <w:r>
        <w:rPr>
          <w:rFonts w:ascii="Times New Roman" w:hAnsi="Times New Roman"/>
          <w:b/>
        </w:rPr>
        <w:t>13.4.4</w:t>
      </w:r>
      <w:r>
        <w:rPr>
          <w:rFonts w:ascii="Times New Roman" w:hAnsi="Times New Roman"/>
        </w:rPr>
        <w:t xml:space="preserve">  综合评价应在履约验收完成后进行，由发包人在汇总全过程履约信息的基础上，按照评价指标体系进行综合评分。过程评价的得分可按照合同约定的权重计入综合评价。</w:t>
      </w:r>
    </w:p>
    <w:p w14:paraId="1B88D7A7">
      <w:pPr>
        <w:rPr>
          <w:rFonts w:ascii="Times New Roman" w:hAnsi="Times New Roman"/>
        </w:rPr>
      </w:pPr>
      <w:r>
        <w:rPr>
          <w:rFonts w:ascii="Times New Roman" w:hAnsi="Times New Roman"/>
          <w:b/>
        </w:rPr>
        <w:t>13.4.5</w:t>
      </w:r>
      <w:r>
        <w:rPr>
          <w:rFonts w:ascii="Times New Roman" w:hAnsi="Times New Roman"/>
        </w:rPr>
        <w:t xml:space="preserve">  履约评价结果应以书面形式反馈承包人。评价报告应包括以下内容：</w:t>
      </w:r>
    </w:p>
    <w:p w14:paraId="6BC5E134">
      <w:pPr>
        <w:ind w:firstLine="420"/>
        <w:rPr>
          <w:rFonts w:ascii="Times New Roman" w:hAnsi="Times New Roman"/>
        </w:rPr>
      </w:pPr>
      <w:r>
        <w:rPr>
          <w:rFonts w:ascii="Times New Roman" w:hAnsi="Times New Roman"/>
        </w:rPr>
        <w:t>1</w:t>
      </w:r>
      <w:r>
        <w:rPr>
          <w:rFonts w:hint="eastAsia" w:ascii="Times New Roman" w:hAnsi="Times New Roman"/>
          <w:lang w:val="en-US" w:eastAsia="zh-CN"/>
        </w:rPr>
        <w:t xml:space="preserve">  </w:t>
      </w:r>
      <w:r>
        <w:rPr>
          <w:rFonts w:ascii="Times New Roman" w:hAnsi="Times New Roman"/>
        </w:rPr>
        <w:t>评价期间及评价类型（过程评价/综合评价）；</w:t>
      </w:r>
    </w:p>
    <w:p w14:paraId="215D894B">
      <w:pPr>
        <w:ind w:firstLine="420"/>
        <w:rPr>
          <w:rFonts w:ascii="Times New Roman" w:hAnsi="Times New Roman"/>
        </w:rPr>
      </w:pPr>
      <w:r>
        <w:rPr>
          <w:rFonts w:ascii="Times New Roman" w:hAnsi="Times New Roman"/>
        </w:rPr>
        <w:t xml:space="preserve">2 </w:t>
      </w:r>
      <w:r>
        <w:rPr>
          <w:rFonts w:hint="eastAsia" w:ascii="Times New Roman" w:hAnsi="Times New Roman"/>
          <w:lang w:val="en-US" w:eastAsia="zh-CN"/>
        </w:rPr>
        <w:t xml:space="preserve"> </w:t>
      </w:r>
      <w:r>
        <w:rPr>
          <w:rFonts w:ascii="Times New Roman" w:hAnsi="Times New Roman"/>
        </w:rPr>
        <w:t>各维度得分及总分；</w:t>
      </w:r>
    </w:p>
    <w:p w14:paraId="1C68D066">
      <w:pPr>
        <w:ind w:firstLine="420"/>
        <w:rPr>
          <w:rFonts w:ascii="Times New Roman" w:hAnsi="Times New Roman"/>
        </w:rPr>
      </w:pPr>
      <w:r>
        <w:rPr>
          <w:rFonts w:ascii="Times New Roman" w:hAnsi="Times New Roman"/>
        </w:rPr>
        <w:t>3</w:t>
      </w:r>
      <w:r>
        <w:rPr>
          <w:rFonts w:hint="eastAsia" w:ascii="Times New Roman" w:hAnsi="Times New Roman"/>
          <w:lang w:val="en-US" w:eastAsia="zh-CN"/>
        </w:rPr>
        <w:t xml:space="preserve"> </w:t>
      </w:r>
      <w:r>
        <w:rPr>
          <w:rFonts w:ascii="Times New Roman" w:hAnsi="Times New Roman"/>
        </w:rPr>
        <w:t xml:space="preserve"> 等级评定结果（如采用等级制）；</w:t>
      </w:r>
    </w:p>
    <w:p w14:paraId="7C0F9DD6">
      <w:pPr>
        <w:ind w:firstLine="420"/>
        <w:rPr>
          <w:rFonts w:ascii="Times New Roman" w:hAnsi="Times New Roman"/>
        </w:rPr>
      </w:pPr>
      <w:r>
        <w:rPr>
          <w:rFonts w:ascii="Times New Roman" w:hAnsi="Times New Roman"/>
        </w:rPr>
        <w:t>4</w:t>
      </w:r>
      <w:r>
        <w:rPr>
          <w:rFonts w:hint="eastAsia" w:ascii="Times New Roman" w:hAnsi="Times New Roman"/>
          <w:lang w:val="en-US" w:eastAsia="zh-CN"/>
        </w:rPr>
        <w:t xml:space="preserve"> </w:t>
      </w:r>
      <w:r>
        <w:rPr>
          <w:rFonts w:ascii="Times New Roman" w:hAnsi="Times New Roman"/>
        </w:rPr>
        <w:t xml:space="preserve"> 主要扣分事项及改进建议；</w:t>
      </w:r>
    </w:p>
    <w:p w14:paraId="7E271133">
      <w:pPr>
        <w:ind w:firstLine="420"/>
        <w:rPr>
          <w:rFonts w:ascii="Times New Roman" w:hAnsi="Times New Roman"/>
        </w:rPr>
      </w:pPr>
      <w:r>
        <w:rPr>
          <w:rFonts w:ascii="Times New Roman" w:hAnsi="Times New Roman"/>
        </w:rPr>
        <w:t>5</w:t>
      </w:r>
      <w:r>
        <w:rPr>
          <w:rFonts w:hint="eastAsia" w:ascii="Times New Roman" w:hAnsi="Times New Roman"/>
          <w:lang w:val="en-US" w:eastAsia="zh-CN"/>
        </w:rPr>
        <w:t xml:space="preserve"> </w:t>
      </w:r>
      <w:r>
        <w:rPr>
          <w:rFonts w:ascii="Times New Roman" w:hAnsi="Times New Roman"/>
        </w:rPr>
        <w:t xml:space="preserve"> 主要加分事项及亮点评价。</w:t>
      </w:r>
    </w:p>
    <w:p w14:paraId="3BCBD879">
      <w:pPr>
        <w:rPr>
          <w:rFonts w:ascii="Times New Roman" w:hAnsi="Times New Roman"/>
        </w:rPr>
      </w:pPr>
      <w:r>
        <w:rPr>
          <w:rFonts w:ascii="Times New Roman" w:hAnsi="Times New Roman"/>
          <w:b/>
        </w:rPr>
        <w:t>13.4.6</w:t>
      </w:r>
      <w:r>
        <w:rPr>
          <w:rFonts w:ascii="Times New Roman" w:hAnsi="Times New Roman"/>
        </w:rPr>
        <w:t xml:space="preserve">  承包人对评价结果有异议的，可在收到评价报告后10个工作日内向发包人提出书面复核申请，列明异议事项及理由。发包人应在收到申请后20个工作日内完成复核，并将复核结果书面答复承包人。复核期间不停止原评价结果的适用。</w:t>
      </w:r>
    </w:p>
    <w:p w14:paraId="163C790B">
      <w:pPr>
        <w:pStyle w:val="3"/>
      </w:pPr>
      <w:bookmarkStart w:id="736" w:name="_Toc1938836198"/>
      <w:bookmarkStart w:id="737" w:name="_Toc551322820"/>
      <w:bookmarkStart w:id="738" w:name="_Toc133464019"/>
      <w:bookmarkStart w:id="739" w:name="_Toc2041833005"/>
      <w:bookmarkStart w:id="740" w:name="_Toc886469682"/>
      <w:bookmarkStart w:id="741" w:name="_Toc231665579"/>
      <w:bookmarkStart w:id="742" w:name="_Toc744612455"/>
      <w:bookmarkStart w:id="743" w:name="_Toc1383687610"/>
      <w:bookmarkStart w:id="744" w:name="_Toc611336732"/>
      <w:r>
        <w:t>13.5  评价结果的运用</w:t>
      </w:r>
      <w:bookmarkEnd w:id="736"/>
      <w:bookmarkEnd w:id="737"/>
      <w:bookmarkEnd w:id="738"/>
      <w:bookmarkEnd w:id="739"/>
      <w:bookmarkEnd w:id="740"/>
      <w:bookmarkEnd w:id="741"/>
      <w:bookmarkEnd w:id="742"/>
      <w:bookmarkEnd w:id="743"/>
      <w:bookmarkEnd w:id="744"/>
    </w:p>
    <w:p w14:paraId="28FC61BB">
      <w:pPr>
        <w:rPr>
          <w:rFonts w:ascii="Times New Roman" w:hAnsi="Times New Roman"/>
        </w:rPr>
      </w:pPr>
      <w:r>
        <w:rPr>
          <w:rFonts w:ascii="Times New Roman" w:hAnsi="Times New Roman"/>
          <w:b/>
        </w:rPr>
        <w:t>13.5.1</w:t>
      </w:r>
      <w:r>
        <w:rPr>
          <w:rFonts w:ascii="Times New Roman" w:hAnsi="Times New Roman"/>
        </w:rPr>
        <w:t xml:space="preserve">  发包人应将履约评价结果作为以下事项的重要参考依据：</w:t>
      </w:r>
    </w:p>
    <w:p w14:paraId="753E0864">
      <w:pPr>
        <w:ind w:firstLine="420"/>
        <w:rPr>
          <w:rFonts w:ascii="Times New Roman" w:hAnsi="Times New Roman"/>
        </w:rPr>
      </w:pPr>
      <w:r>
        <w:rPr>
          <w:rFonts w:ascii="Times New Roman" w:hAnsi="Times New Roman"/>
        </w:rPr>
        <w:t>1  限制履约评价不合格的承包人参与本单位其他项目的投标；</w:t>
      </w:r>
    </w:p>
    <w:p w14:paraId="67D4CCC7">
      <w:pPr>
        <w:ind w:firstLine="420"/>
        <w:rPr>
          <w:rFonts w:ascii="Times New Roman" w:hAnsi="Times New Roman"/>
        </w:rPr>
      </w:pPr>
      <w:r>
        <w:rPr>
          <w:rFonts w:ascii="Times New Roman" w:hAnsi="Times New Roman"/>
        </w:rPr>
        <w:t>2  在非依法必须招标项目中，优先选择履约评价优秀的承包人；</w:t>
      </w:r>
    </w:p>
    <w:p w14:paraId="69C0D039">
      <w:pPr>
        <w:ind w:firstLine="420"/>
        <w:rPr>
          <w:rFonts w:ascii="Times New Roman" w:hAnsi="Times New Roman"/>
        </w:rPr>
      </w:pPr>
      <w:r>
        <w:rPr>
          <w:rFonts w:ascii="Times New Roman" w:hAnsi="Times New Roman"/>
        </w:rPr>
        <w:t>3  在“评定分离”项目中，将履约评价结果作为定标推荐的重要考量因素；</w:t>
      </w:r>
    </w:p>
    <w:p w14:paraId="2501040F">
      <w:pPr>
        <w:ind w:firstLine="420"/>
        <w:rPr>
          <w:rFonts w:ascii="Times New Roman" w:hAnsi="Times New Roman"/>
        </w:rPr>
      </w:pPr>
      <w:r>
        <w:rPr>
          <w:rFonts w:ascii="Times New Roman" w:hAnsi="Times New Roman"/>
        </w:rPr>
        <w:t>4  对在建项目实施差异化监管，依据履约评价等级调整检查频次与力度；</w:t>
      </w:r>
    </w:p>
    <w:p w14:paraId="330575C3">
      <w:pPr>
        <w:ind w:firstLine="420"/>
        <w:rPr>
          <w:rFonts w:ascii="Times New Roman" w:hAnsi="Times New Roman"/>
        </w:rPr>
      </w:pPr>
      <w:r>
        <w:rPr>
          <w:rFonts w:ascii="Times New Roman" w:hAnsi="Times New Roman"/>
        </w:rPr>
        <w:t>5  在合同价款支付中，对履约评价优秀的承包人给予优先安排。</w:t>
      </w:r>
    </w:p>
    <w:p w14:paraId="73838A29">
      <w:pPr>
        <w:rPr>
          <w:rFonts w:ascii="Times New Roman" w:hAnsi="Times New Roman"/>
        </w:rPr>
      </w:pPr>
      <w:r>
        <w:rPr>
          <w:rFonts w:ascii="Times New Roman" w:hAnsi="Times New Roman"/>
          <w:b/>
        </w:rPr>
        <w:t>13.5.2</w:t>
      </w:r>
      <w:r>
        <w:rPr>
          <w:rFonts w:ascii="Times New Roman" w:hAnsi="Times New Roman"/>
        </w:rPr>
        <w:t xml:space="preserve">  发包人可通过建立内部制度的方式明确评价结果运用的具体规则。</w:t>
      </w:r>
    </w:p>
    <w:p w14:paraId="18583C4F">
      <w:pPr>
        <w:rPr>
          <w:rFonts w:ascii="Times New Roman" w:hAnsi="Times New Roman"/>
        </w:rPr>
      </w:pPr>
      <w:r>
        <w:rPr>
          <w:rFonts w:ascii="Times New Roman" w:hAnsi="Times New Roman"/>
          <w:b/>
        </w:rPr>
        <w:t>13.5.3</w:t>
      </w:r>
      <w:r>
        <w:rPr>
          <w:rFonts w:ascii="Times New Roman" w:hAnsi="Times New Roman"/>
        </w:rPr>
        <w:t xml:space="preserve">  发包人应按相关规定将履约评价结果报送行业主管部门，纳入政府主导的信用评价体系。</w:t>
      </w:r>
    </w:p>
    <w:p w14:paraId="0C0E6E75">
      <w:pPr>
        <w:pStyle w:val="3"/>
      </w:pPr>
      <w:bookmarkStart w:id="745" w:name="_Toc1045287948"/>
      <w:bookmarkStart w:id="746" w:name="_Toc424270531"/>
      <w:bookmarkStart w:id="747" w:name="_Toc742725429"/>
      <w:bookmarkStart w:id="748" w:name="_Toc231665580"/>
      <w:bookmarkStart w:id="749" w:name="_Toc510450954"/>
      <w:bookmarkStart w:id="750" w:name="_Toc993158581"/>
      <w:bookmarkStart w:id="751" w:name="_Toc2023715404"/>
      <w:bookmarkStart w:id="752" w:name="_Toc630889218"/>
      <w:bookmarkStart w:id="753" w:name="_Toc393963481"/>
      <w:r>
        <w:t>13.6  信用联动与信息共享</w:t>
      </w:r>
      <w:bookmarkEnd w:id="745"/>
      <w:bookmarkEnd w:id="746"/>
      <w:bookmarkEnd w:id="747"/>
      <w:bookmarkEnd w:id="748"/>
      <w:bookmarkEnd w:id="749"/>
      <w:bookmarkEnd w:id="750"/>
      <w:bookmarkEnd w:id="751"/>
      <w:bookmarkEnd w:id="752"/>
      <w:bookmarkEnd w:id="753"/>
    </w:p>
    <w:p w14:paraId="20B0241F">
      <w:pPr>
        <w:rPr>
          <w:rFonts w:ascii="Times New Roman" w:hAnsi="Times New Roman"/>
        </w:rPr>
      </w:pPr>
      <w:r>
        <w:rPr>
          <w:rFonts w:ascii="Times New Roman" w:hAnsi="Times New Roman"/>
          <w:b/>
        </w:rPr>
        <w:t>13.6.1</w:t>
      </w:r>
      <w:r>
        <w:rPr>
          <w:rFonts w:ascii="Times New Roman" w:hAnsi="Times New Roman"/>
        </w:rPr>
        <w:t xml:space="preserve">  履约评价结果是构建招投标市场与履约现场联动机制的核心数据纽带。发包人应将每个合同的履约评价结果，连同合同基本信息、履约验收结论，按统一格式归集整理。</w:t>
      </w:r>
    </w:p>
    <w:p w14:paraId="206673C8">
      <w:pPr>
        <w:rPr>
          <w:rFonts w:ascii="Times New Roman" w:hAnsi="Times New Roman"/>
        </w:rPr>
      </w:pPr>
      <w:r>
        <w:rPr>
          <w:rFonts w:ascii="Times New Roman" w:hAnsi="Times New Roman"/>
          <w:b/>
        </w:rPr>
        <w:t>13.6.2</w:t>
      </w:r>
      <w:r>
        <w:rPr>
          <w:rFonts w:ascii="Times New Roman" w:hAnsi="Times New Roman"/>
        </w:rPr>
        <w:t xml:space="preserve">  发包人应将履约评价结果上传至信用信息平台，上传信息宜包括：</w:t>
      </w:r>
    </w:p>
    <w:p w14:paraId="1574942E">
      <w:pPr>
        <w:ind w:firstLine="420"/>
        <w:rPr>
          <w:rFonts w:ascii="Times New Roman" w:hAnsi="Times New Roman"/>
        </w:rPr>
      </w:pPr>
      <w:r>
        <w:rPr>
          <w:rFonts w:ascii="Times New Roman" w:hAnsi="Times New Roman"/>
        </w:rPr>
        <w:t>1  合同基本信息（名称、编号、类型、金额、期限）；</w:t>
      </w:r>
    </w:p>
    <w:p w14:paraId="346557FE">
      <w:pPr>
        <w:ind w:firstLine="420"/>
        <w:rPr>
          <w:rFonts w:ascii="Times New Roman" w:hAnsi="Times New Roman"/>
        </w:rPr>
      </w:pPr>
      <w:r>
        <w:rPr>
          <w:rFonts w:ascii="Times New Roman" w:hAnsi="Times New Roman"/>
        </w:rPr>
        <w:t>2  发包人与承包人基本信息；</w:t>
      </w:r>
    </w:p>
    <w:p w14:paraId="2EED765A">
      <w:pPr>
        <w:ind w:firstLine="420"/>
        <w:rPr>
          <w:rFonts w:ascii="Times New Roman" w:hAnsi="Times New Roman"/>
        </w:rPr>
      </w:pPr>
      <w:r>
        <w:rPr>
          <w:rFonts w:ascii="Times New Roman" w:hAnsi="Times New Roman"/>
        </w:rPr>
        <w:t>3  履约验收结论（合格/不合格）；</w:t>
      </w:r>
    </w:p>
    <w:p w14:paraId="66E234AF">
      <w:pPr>
        <w:ind w:firstLine="420"/>
        <w:rPr>
          <w:rFonts w:ascii="Times New Roman" w:hAnsi="Times New Roman"/>
        </w:rPr>
      </w:pPr>
      <w:r>
        <w:rPr>
          <w:rFonts w:ascii="Times New Roman" w:hAnsi="Times New Roman"/>
        </w:rPr>
        <w:t>4  履约评价得分及等级；</w:t>
      </w:r>
    </w:p>
    <w:p w14:paraId="0F0BFD30">
      <w:pPr>
        <w:ind w:firstLine="420"/>
        <w:rPr>
          <w:rFonts w:ascii="Times New Roman" w:hAnsi="Times New Roman"/>
        </w:rPr>
      </w:pPr>
      <w:r>
        <w:rPr>
          <w:rFonts w:ascii="Times New Roman" w:hAnsi="Times New Roman"/>
        </w:rPr>
        <w:t>5  主要扣分事项摘要（脱敏后）。</w:t>
      </w:r>
    </w:p>
    <w:p w14:paraId="59FCC538">
      <w:pPr>
        <w:rPr>
          <w:rFonts w:ascii="Times New Roman" w:hAnsi="Times New Roman"/>
          <w:b/>
        </w:rPr>
      </w:pPr>
      <w:r>
        <w:rPr>
          <w:rFonts w:ascii="Times New Roman" w:hAnsi="Times New Roman"/>
          <w:b/>
        </w:rPr>
        <w:t>13.6.3</w:t>
      </w:r>
      <w:r>
        <w:rPr>
          <w:rFonts w:ascii="Times New Roman" w:hAnsi="Times New Roman"/>
        </w:rPr>
        <w:t xml:space="preserve">  发包人应将每个合同的履约评价结果进行归集。通过单个合同履约评价的累积，逐步形成承包人的企业信用档案，反映企业在不同时期、不同类型项目中的履约表现，为招标投标活动提供动态、全面的信用参考。</w:t>
      </w:r>
    </w:p>
    <w:p w14:paraId="5126EAAE">
      <w:pPr>
        <w:rPr>
          <w:rFonts w:ascii="Times New Roman" w:hAnsi="Times New Roman"/>
        </w:rPr>
      </w:pPr>
      <w:r>
        <w:rPr>
          <w:rFonts w:ascii="Times New Roman" w:hAnsi="Times New Roman"/>
          <w:b/>
        </w:rPr>
        <w:t>13.6.4</w:t>
      </w:r>
      <w:r>
        <w:rPr>
          <w:rFonts w:ascii="Times New Roman" w:hAnsi="Times New Roman"/>
        </w:rPr>
        <w:t xml:space="preserve">  发包人在招标投标活动中，可依法依规查询潜在投标人的履约评价记录和信用档案，作为资格审查、评标或定标的参考依据。</w:t>
      </w:r>
    </w:p>
    <w:p w14:paraId="5D060048">
      <w:pPr>
        <w:rPr>
          <w:rFonts w:ascii="Times New Roman" w:hAnsi="Times New Roman"/>
        </w:rPr>
      </w:pPr>
      <w:r>
        <w:rPr>
          <w:rFonts w:ascii="Times New Roman" w:hAnsi="Times New Roman"/>
          <w:b/>
        </w:rPr>
        <w:t>13.6.5</w:t>
      </w:r>
      <w:r>
        <w:rPr>
          <w:rFonts w:ascii="Times New Roman" w:hAnsi="Times New Roman"/>
        </w:rPr>
        <w:t xml:space="preserve">  鼓励依托数智化管理平台，实现履约评价结果的自动生成、在线报送和跨平台共享。</w:t>
      </w:r>
    </w:p>
    <w:p w14:paraId="4A45B9A6">
      <w:pPr>
        <w:pStyle w:val="3"/>
      </w:pPr>
      <w:bookmarkStart w:id="754" w:name="_Toc642313831"/>
      <w:bookmarkStart w:id="755" w:name="_Toc1070702600"/>
      <w:bookmarkStart w:id="756" w:name="_Toc999247359"/>
      <w:bookmarkStart w:id="757" w:name="_Toc140610911"/>
      <w:bookmarkStart w:id="758" w:name="_Toc442664202"/>
      <w:bookmarkStart w:id="759" w:name="_Toc2145148721"/>
      <w:bookmarkStart w:id="760" w:name="_Toc231665581"/>
      <w:bookmarkStart w:id="761" w:name="_Toc674322444"/>
      <w:bookmarkStart w:id="762" w:name="_Toc975336353"/>
      <w:r>
        <w:t>13.7  信用修复</w:t>
      </w:r>
      <w:bookmarkEnd w:id="754"/>
      <w:bookmarkEnd w:id="755"/>
      <w:bookmarkEnd w:id="756"/>
      <w:bookmarkEnd w:id="757"/>
      <w:bookmarkEnd w:id="758"/>
      <w:bookmarkEnd w:id="759"/>
      <w:bookmarkEnd w:id="760"/>
      <w:bookmarkEnd w:id="761"/>
      <w:bookmarkEnd w:id="762"/>
    </w:p>
    <w:p w14:paraId="6FEFF9EE">
      <w:pPr>
        <w:rPr>
          <w:rFonts w:ascii="Times New Roman" w:hAnsi="Times New Roman"/>
        </w:rPr>
      </w:pPr>
      <w:r>
        <w:rPr>
          <w:rFonts w:ascii="Times New Roman" w:hAnsi="Times New Roman"/>
          <w:b/>
        </w:rPr>
        <w:t>13.7.1</w:t>
      </w:r>
      <w:r>
        <w:rPr>
          <w:rFonts w:ascii="Times New Roman" w:hAnsi="Times New Roman"/>
        </w:rPr>
        <w:t xml:space="preserve">  承包人因履约评价不合格被限制参与发包人后续项目的，在限制期内积极整改、消除不良影响的，可向发包人申请信用修复。</w:t>
      </w:r>
    </w:p>
    <w:p w14:paraId="64541D7D">
      <w:pPr>
        <w:rPr>
          <w:rFonts w:ascii="Times New Roman" w:hAnsi="Times New Roman"/>
        </w:rPr>
      </w:pPr>
      <w:r>
        <w:rPr>
          <w:rFonts w:ascii="Times New Roman" w:hAnsi="Times New Roman"/>
          <w:b/>
        </w:rPr>
        <w:t>13.7.2</w:t>
      </w:r>
      <w:r>
        <w:rPr>
          <w:rFonts w:ascii="Times New Roman" w:hAnsi="Times New Roman"/>
        </w:rPr>
        <w:t xml:space="preserve">  信用修复申请应提交书面材料，包括整改措施、整改成效及证明材料。</w:t>
      </w:r>
    </w:p>
    <w:p w14:paraId="09FC3255">
      <w:pPr>
        <w:rPr>
          <w:rFonts w:ascii="Times New Roman" w:hAnsi="Times New Roman"/>
        </w:rPr>
      </w:pPr>
      <w:r>
        <w:rPr>
          <w:rFonts w:ascii="Times New Roman" w:hAnsi="Times New Roman"/>
          <w:b/>
        </w:rPr>
        <w:t>13.7.3</w:t>
      </w:r>
      <w:r>
        <w:rPr>
          <w:rFonts w:ascii="Times New Roman" w:hAnsi="Times New Roman"/>
        </w:rPr>
        <w:t xml:space="preserve">  发包人应在收到申请后30个工作日内进行核查。经核查确认整改到位的，可调整其信用限制状态，并将修复结果书面告知承包人。信用修复不免除原违约行为应承担的合同责任。</w:t>
      </w:r>
    </w:p>
    <w:p w14:paraId="2B23AC44">
      <w:pPr>
        <w:rPr>
          <w:rFonts w:ascii="Times New Roman" w:hAnsi="Times New Roman"/>
        </w:rPr>
      </w:pPr>
      <w:r>
        <w:rPr>
          <w:rFonts w:ascii="Times New Roman" w:hAnsi="Times New Roman"/>
          <w:b/>
        </w:rPr>
        <w:t>13.7.4</w:t>
      </w:r>
      <w:r>
        <w:rPr>
          <w:rFonts w:ascii="Times New Roman" w:hAnsi="Times New Roman"/>
        </w:rPr>
        <w:t xml:space="preserve">  信用修复的相关记录应归档保存。</w:t>
      </w:r>
    </w:p>
    <w:p w14:paraId="129467D3">
      <w:pPr>
        <w:pStyle w:val="3"/>
      </w:pPr>
      <w:bookmarkStart w:id="763" w:name="_Toc673865626"/>
      <w:bookmarkStart w:id="764" w:name="_Toc1740005965"/>
      <w:bookmarkStart w:id="765" w:name="_Toc1844489189"/>
      <w:bookmarkStart w:id="766" w:name="_Toc474992517"/>
      <w:bookmarkStart w:id="767" w:name="_Toc1162017154"/>
      <w:bookmarkStart w:id="768" w:name="_Toc471649910"/>
      <w:bookmarkStart w:id="769" w:name="_Toc376684132"/>
      <w:bookmarkStart w:id="770" w:name="_Toc231665582"/>
      <w:bookmarkStart w:id="771" w:name="_Toc907071446"/>
      <w:r>
        <w:t>13.8  档案管理</w:t>
      </w:r>
      <w:bookmarkEnd w:id="763"/>
      <w:bookmarkEnd w:id="764"/>
      <w:bookmarkEnd w:id="765"/>
      <w:bookmarkEnd w:id="766"/>
      <w:bookmarkEnd w:id="767"/>
      <w:bookmarkEnd w:id="768"/>
      <w:bookmarkEnd w:id="769"/>
      <w:bookmarkEnd w:id="770"/>
      <w:bookmarkEnd w:id="771"/>
    </w:p>
    <w:p w14:paraId="625FC931">
      <w:pPr>
        <w:rPr>
          <w:rFonts w:ascii="Times New Roman" w:hAnsi="Times New Roman"/>
        </w:rPr>
      </w:pPr>
      <w:r>
        <w:rPr>
          <w:rFonts w:ascii="Times New Roman" w:hAnsi="Times New Roman"/>
          <w:b/>
        </w:rPr>
        <w:t>13.8.1</w:t>
      </w:r>
      <w:r>
        <w:rPr>
          <w:rFonts w:ascii="Times New Roman" w:hAnsi="Times New Roman"/>
        </w:rPr>
        <w:t xml:space="preserve">  发包人应建立履约评价档案管理制度，妥善保管以下资料：</w:t>
      </w:r>
    </w:p>
    <w:p w14:paraId="0FB637D8">
      <w:pPr>
        <w:ind w:firstLine="420"/>
        <w:rPr>
          <w:rFonts w:ascii="Times New Roman" w:hAnsi="Times New Roman"/>
        </w:rPr>
      </w:pPr>
      <w:r>
        <w:rPr>
          <w:rFonts w:ascii="Times New Roman" w:hAnsi="Times New Roman"/>
        </w:rPr>
        <w:t>1  履约评价指标体系及评分细则；</w:t>
      </w:r>
    </w:p>
    <w:p w14:paraId="5C89012E">
      <w:pPr>
        <w:ind w:firstLine="420"/>
        <w:rPr>
          <w:rFonts w:ascii="Times New Roman" w:hAnsi="Times New Roman"/>
        </w:rPr>
      </w:pPr>
      <w:r>
        <w:rPr>
          <w:rFonts w:ascii="Times New Roman" w:hAnsi="Times New Roman"/>
        </w:rPr>
        <w:t>2  过程评价及竣工综合评价的评分记录及计算依据；</w:t>
      </w:r>
    </w:p>
    <w:p w14:paraId="0EFF25E5">
      <w:pPr>
        <w:ind w:firstLine="420"/>
        <w:rPr>
          <w:rFonts w:ascii="Times New Roman" w:hAnsi="Times New Roman"/>
        </w:rPr>
      </w:pPr>
      <w:r>
        <w:rPr>
          <w:rFonts w:ascii="Times New Roman" w:hAnsi="Times New Roman"/>
        </w:rPr>
        <w:t>3  履约评价报告及承包人反馈意见；</w:t>
      </w:r>
    </w:p>
    <w:p w14:paraId="6D5D700C">
      <w:pPr>
        <w:ind w:firstLine="420"/>
        <w:rPr>
          <w:rFonts w:ascii="Times New Roman" w:hAnsi="Times New Roman"/>
        </w:rPr>
      </w:pPr>
      <w:r>
        <w:rPr>
          <w:rFonts w:ascii="Times New Roman" w:hAnsi="Times New Roman"/>
        </w:rPr>
        <w:t>4  异议处理及复核记录；</w:t>
      </w:r>
    </w:p>
    <w:p w14:paraId="34A05C7E">
      <w:pPr>
        <w:ind w:firstLine="420"/>
        <w:rPr>
          <w:rFonts w:ascii="Times New Roman" w:hAnsi="Times New Roman"/>
        </w:rPr>
      </w:pPr>
      <w:r>
        <w:rPr>
          <w:rFonts w:ascii="Times New Roman" w:hAnsi="Times New Roman"/>
        </w:rPr>
        <w:t>5  评价结果应用的相关记录；</w:t>
      </w:r>
    </w:p>
    <w:p w14:paraId="0709296A">
      <w:pPr>
        <w:ind w:firstLine="420"/>
        <w:rPr>
          <w:rFonts w:ascii="Times New Roman" w:hAnsi="Times New Roman"/>
        </w:rPr>
      </w:pPr>
      <w:r>
        <w:rPr>
          <w:rFonts w:ascii="Times New Roman" w:hAnsi="Times New Roman"/>
        </w:rPr>
        <w:t>6  信用修复申请及核查记录。</w:t>
      </w:r>
    </w:p>
    <w:p w14:paraId="0586809B">
      <w:pPr>
        <w:rPr>
          <w:rFonts w:ascii="Times New Roman" w:hAnsi="Times New Roman"/>
        </w:rPr>
      </w:pPr>
      <w:r>
        <w:rPr>
          <w:rFonts w:ascii="Times New Roman" w:hAnsi="Times New Roman"/>
          <w:b/>
        </w:rPr>
        <w:t>13.8.2</w:t>
      </w:r>
      <w:r>
        <w:rPr>
          <w:rFonts w:ascii="Times New Roman" w:hAnsi="Times New Roman"/>
        </w:rPr>
        <w:t xml:space="preserve">  履约评价档案的保存期限应符合国家及行业档案管理的有关规定。</w:t>
      </w:r>
    </w:p>
    <w:p w14:paraId="14007D86">
      <w:pPr>
        <w:pStyle w:val="2"/>
      </w:pPr>
      <w:r>
        <w:br w:type="page"/>
      </w:r>
      <w:bookmarkStart w:id="772" w:name="_Toc1737336897"/>
      <w:bookmarkStart w:id="773" w:name="_Toc191117142"/>
      <w:bookmarkStart w:id="774" w:name="_Toc231665583"/>
      <w:bookmarkStart w:id="775" w:name="_Toc497290050"/>
      <w:bookmarkStart w:id="776" w:name="_Toc1744149605"/>
      <w:bookmarkStart w:id="777" w:name="_Toc442715233"/>
      <w:bookmarkStart w:id="778" w:name="_Toc2075113920"/>
      <w:bookmarkStart w:id="779" w:name="_Toc72819116"/>
      <w:bookmarkStart w:id="780" w:name="_Toc1981060493"/>
      <w:r>
        <w:t>14  争议管理</w:t>
      </w:r>
      <w:bookmarkEnd w:id="772"/>
      <w:bookmarkEnd w:id="773"/>
      <w:bookmarkEnd w:id="774"/>
      <w:bookmarkEnd w:id="775"/>
      <w:bookmarkEnd w:id="776"/>
      <w:bookmarkEnd w:id="777"/>
      <w:bookmarkEnd w:id="778"/>
      <w:bookmarkEnd w:id="779"/>
      <w:bookmarkEnd w:id="780"/>
    </w:p>
    <w:p w14:paraId="71DC2E88">
      <w:pPr>
        <w:pStyle w:val="3"/>
      </w:pPr>
      <w:bookmarkStart w:id="781" w:name="_Toc1295848684"/>
      <w:bookmarkStart w:id="782" w:name="_Toc231665584"/>
      <w:bookmarkStart w:id="783" w:name="_Toc46505281"/>
      <w:bookmarkStart w:id="784" w:name="_Toc2036874164"/>
      <w:bookmarkStart w:id="785" w:name="_Toc930125087"/>
      <w:bookmarkStart w:id="786" w:name="_Toc331817631"/>
      <w:bookmarkStart w:id="787" w:name="_Toc642837875"/>
      <w:bookmarkStart w:id="788" w:name="_Toc136503318"/>
      <w:bookmarkStart w:id="789" w:name="_Toc1063973545"/>
      <w:r>
        <w:t>14.1  一般规定</w:t>
      </w:r>
      <w:bookmarkEnd w:id="781"/>
      <w:bookmarkEnd w:id="782"/>
      <w:bookmarkEnd w:id="783"/>
      <w:bookmarkEnd w:id="784"/>
      <w:bookmarkEnd w:id="785"/>
      <w:bookmarkEnd w:id="786"/>
      <w:bookmarkEnd w:id="787"/>
      <w:bookmarkEnd w:id="788"/>
      <w:bookmarkEnd w:id="789"/>
    </w:p>
    <w:p w14:paraId="26F201BB">
      <w:pPr>
        <w:rPr>
          <w:rFonts w:ascii="Times New Roman" w:hAnsi="Times New Roman"/>
        </w:rPr>
      </w:pPr>
      <w:r>
        <w:rPr>
          <w:rFonts w:ascii="Times New Roman" w:hAnsi="Times New Roman"/>
          <w:b/>
        </w:rPr>
        <w:t>14.1.1</w:t>
      </w:r>
      <w:r>
        <w:rPr>
          <w:rFonts w:ascii="Times New Roman" w:hAnsi="Times New Roman"/>
        </w:rPr>
        <w:t xml:space="preserve">  争议管理是合同履行过程中对争议事项进行识别、登记、协商、处理和归档的管理活动。</w:t>
      </w:r>
    </w:p>
    <w:p w14:paraId="2D39332F">
      <w:pPr>
        <w:rPr>
          <w:rFonts w:ascii="Times New Roman" w:hAnsi="Times New Roman"/>
        </w:rPr>
      </w:pPr>
      <w:r>
        <w:rPr>
          <w:rFonts w:ascii="Times New Roman" w:hAnsi="Times New Roman"/>
          <w:b/>
        </w:rPr>
        <w:t>14.1.2</w:t>
      </w:r>
      <w:r>
        <w:rPr>
          <w:rFonts w:ascii="Times New Roman" w:hAnsi="Times New Roman"/>
        </w:rPr>
        <w:t xml:space="preserve">  争议管理应遵循依法合规、平等协商、及时处理的原则，防止争议扩大化，保障合同正常履行。</w:t>
      </w:r>
    </w:p>
    <w:p w14:paraId="066D5A29">
      <w:pPr>
        <w:rPr>
          <w:rFonts w:ascii="Times New Roman" w:hAnsi="Times New Roman"/>
        </w:rPr>
      </w:pPr>
      <w:r>
        <w:rPr>
          <w:rFonts w:ascii="Times New Roman" w:hAnsi="Times New Roman"/>
          <w:b/>
        </w:rPr>
        <w:t>14.1.3</w:t>
      </w:r>
      <w:r>
        <w:rPr>
          <w:rFonts w:ascii="Times New Roman" w:hAnsi="Times New Roman"/>
        </w:rPr>
        <w:t xml:space="preserve">  发包人应建立争议管理机制，明确争议处理的程序、权限和时限要求。</w:t>
      </w:r>
    </w:p>
    <w:p w14:paraId="2C288055">
      <w:pPr>
        <w:pStyle w:val="3"/>
      </w:pPr>
      <w:bookmarkStart w:id="790" w:name="_Toc1941869686"/>
      <w:bookmarkStart w:id="791" w:name="_Toc1752025420"/>
      <w:bookmarkStart w:id="792" w:name="_Toc231665585"/>
      <w:bookmarkStart w:id="793" w:name="_Toc1878099965"/>
      <w:bookmarkStart w:id="794" w:name="_Toc1803723580"/>
      <w:bookmarkStart w:id="795" w:name="_Toc1907156474"/>
      <w:bookmarkStart w:id="796" w:name="_Toc1464731933"/>
      <w:bookmarkStart w:id="797" w:name="_Toc421611574"/>
      <w:bookmarkStart w:id="798" w:name="_Toc471008109"/>
      <w:r>
        <w:t>14.2  争议的识别与登记</w:t>
      </w:r>
      <w:bookmarkEnd w:id="790"/>
      <w:bookmarkEnd w:id="791"/>
      <w:bookmarkEnd w:id="792"/>
      <w:bookmarkEnd w:id="793"/>
      <w:bookmarkEnd w:id="794"/>
      <w:bookmarkEnd w:id="795"/>
      <w:bookmarkEnd w:id="796"/>
      <w:bookmarkEnd w:id="797"/>
      <w:bookmarkEnd w:id="798"/>
    </w:p>
    <w:p w14:paraId="28D00184">
      <w:pPr>
        <w:rPr>
          <w:rFonts w:ascii="Times New Roman" w:hAnsi="Times New Roman"/>
        </w:rPr>
      </w:pPr>
      <w:r>
        <w:rPr>
          <w:rFonts w:ascii="Times New Roman" w:hAnsi="Times New Roman"/>
          <w:b/>
        </w:rPr>
        <w:t>14.2.1</w:t>
      </w:r>
      <w:r>
        <w:rPr>
          <w:rFonts w:ascii="Times New Roman" w:hAnsi="Times New Roman"/>
        </w:rPr>
        <w:t xml:space="preserve">  发包人应对合同履行中出现的争议事项及时识别和登记，建立争议管理台账。争议事项主要包括：</w:t>
      </w:r>
    </w:p>
    <w:p w14:paraId="4ED6E71D">
      <w:pPr>
        <w:ind w:firstLine="420"/>
        <w:rPr>
          <w:rFonts w:ascii="Times New Roman" w:hAnsi="Times New Roman"/>
        </w:rPr>
      </w:pPr>
      <w:r>
        <w:rPr>
          <w:rFonts w:ascii="Times New Roman" w:hAnsi="Times New Roman"/>
        </w:rPr>
        <w:t>1  合同条款理解分歧；</w:t>
      </w:r>
    </w:p>
    <w:p w14:paraId="256D2C49">
      <w:pPr>
        <w:ind w:firstLine="420"/>
        <w:rPr>
          <w:rFonts w:ascii="Times New Roman" w:hAnsi="Times New Roman"/>
        </w:rPr>
      </w:pPr>
      <w:r>
        <w:rPr>
          <w:rFonts w:ascii="Times New Roman" w:hAnsi="Times New Roman"/>
        </w:rPr>
        <w:t>2  合同变更分歧；</w:t>
      </w:r>
    </w:p>
    <w:p w14:paraId="6848C3CF">
      <w:pPr>
        <w:ind w:firstLine="420"/>
        <w:rPr>
          <w:rFonts w:ascii="Times New Roman" w:hAnsi="Times New Roman"/>
        </w:rPr>
      </w:pPr>
      <w:r>
        <w:rPr>
          <w:rFonts w:ascii="Times New Roman" w:hAnsi="Times New Roman"/>
        </w:rPr>
        <w:t>3  价款支付争议；</w:t>
      </w:r>
    </w:p>
    <w:p w14:paraId="4A8CCD7E">
      <w:pPr>
        <w:ind w:firstLine="420"/>
        <w:rPr>
          <w:rFonts w:ascii="Times New Roman" w:hAnsi="Times New Roman"/>
        </w:rPr>
      </w:pPr>
      <w:r>
        <w:rPr>
          <w:rFonts w:ascii="Times New Roman" w:hAnsi="Times New Roman"/>
        </w:rPr>
        <w:t>4  工期或期限争议；</w:t>
      </w:r>
    </w:p>
    <w:p w14:paraId="16B426D4">
      <w:pPr>
        <w:ind w:firstLine="420"/>
        <w:rPr>
          <w:rFonts w:ascii="Times New Roman" w:hAnsi="Times New Roman"/>
        </w:rPr>
      </w:pPr>
      <w:r>
        <w:rPr>
          <w:rFonts w:ascii="Times New Roman" w:hAnsi="Times New Roman"/>
        </w:rPr>
        <w:t>5  质量责任认定分歧；</w:t>
      </w:r>
    </w:p>
    <w:p w14:paraId="18425481">
      <w:pPr>
        <w:ind w:firstLine="420"/>
        <w:rPr>
          <w:rFonts w:ascii="Times New Roman" w:hAnsi="Times New Roman"/>
        </w:rPr>
      </w:pPr>
      <w:r>
        <w:rPr>
          <w:rFonts w:ascii="Times New Roman" w:hAnsi="Times New Roman"/>
        </w:rPr>
        <w:t>6  索赔与违约责任争议；</w:t>
      </w:r>
    </w:p>
    <w:p w14:paraId="43B0A943">
      <w:pPr>
        <w:ind w:firstLine="420"/>
        <w:rPr>
          <w:rFonts w:ascii="Times New Roman" w:hAnsi="Times New Roman"/>
        </w:rPr>
      </w:pPr>
      <w:r>
        <w:rPr>
          <w:rFonts w:ascii="Times New Roman" w:hAnsi="Times New Roman"/>
        </w:rPr>
        <w:t>7  合同约定的其他争议事项。</w:t>
      </w:r>
    </w:p>
    <w:p w14:paraId="6B5A455B">
      <w:pPr>
        <w:rPr>
          <w:rFonts w:ascii="Times New Roman" w:hAnsi="Times New Roman"/>
        </w:rPr>
      </w:pPr>
      <w:r>
        <w:rPr>
          <w:rFonts w:ascii="Times New Roman" w:hAnsi="Times New Roman"/>
          <w:b/>
        </w:rPr>
        <w:t>14.2.2</w:t>
      </w:r>
      <w:r>
        <w:rPr>
          <w:rFonts w:ascii="Times New Roman" w:hAnsi="Times New Roman"/>
        </w:rPr>
        <w:t xml:space="preserve">  对可能影响合同正常履行或涉及金额较大的重大争议，发包人应及时向单位负责人报告，并启动专项处理程序。</w:t>
      </w:r>
    </w:p>
    <w:p w14:paraId="0123A1FC">
      <w:pPr>
        <w:pStyle w:val="3"/>
      </w:pPr>
      <w:bookmarkStart w:id="799" w:name="_Toc1082960366"/>
      <w:bookmarkStart w:id="800" w:name="_Toc1297870969"/>
      <w:bookmarkStart w:id="801" w:name="_Toc866643460"/>
      <w:bookmarkStart w:id="802" w:name="_Toc1386785373"/>
      <w:bookmarkStart w:id="803" w:name="_Toc460369513"/>
      <w:bookmarkStart w:id="804" w:name="_Toc749051732"/>
      <w:bookmarkStart w:id="805" w:name="_Toc77200186"/>
      <w:bookmarkStart w:id="806" w:name="_Toc231665586"/>
      <w:bookmarkStart w:id="807" w:name="_Toc1537825072"/>
      <w:r>
        <w:t>14.3  争议的协商与处理</w:t>
      </w:r>
      <w:bookmarkEnd w:id="799"/>
      <w:bookmarkEnd w:id="800"/>
      <w:bookmarkEnd w:id="801"/>
      <w:bookmarkEnd w:id="802"/>
      <w:bookmarkEnd w:id="803"/>
      <w:bookmarkEnd w:id="804"/>
      <w:bookmarkEnd w:id="805"/>
      <w:bookmarkEnd w:id="806"/>
      <w:bookmarkEnd w:id="807"/>
    </w:p>
    <w:p w14:paraId="4F09DFA4">
      <w:pPr>
        <w:rPr>
          <w:rFonts w:ascii="Times New Roman" w:hAnsi="Times New Roman"/>
        </w:rPr>
      </w:pPr>
      <w:r>
        <w:rPr>
          <w:rFonts w:ascii="Times New Roman" w:hAnsi="Times New Roman"/>
          <w:b/>
        </w:rPr>
        <w:t>14.3.1</w:t>
      </w:r>
      <w:r>
        <w:rPr>
          <w:rFonts w:ascii="Times New Roman" w:hAnsi="Times New Roman"/>
        </w:rPr>
        <w:t xml:space="preserve">  争议发生后，各方应首先通过友好协商解决。协商可采取会议、书面函件等方式进行。</w:t>
      </w:r>
    </w:p>
    <w:p w14:paraId="48D57F07">
      <w:pPr>
        <w:rPr>
          <w:rFonts w:ascii="Times New Roman" w:hAnsi="Times New Roman"/>
        </w:rPr>
      </w:pPr>
      <w:r>
        <w:rPr>
          <w:rFonts w:ascii="Times New Roman" w:hAnsi="Times New Roman"/>
          <w:b/>
        </w:rPr>
        <w:t>14.3.2</w:t>
      </w:r>
      <w:r>
        <w:rPr>
          <w:rFonts w:ascii="Times New Roman" w:hAnsi="Times New Roman"/>
        </w:rPr>
        <w:t xml:space="preserve">  协商达成一致的，各方应签订书面和解协议，明确争议事项的处理方案、执行时限和责任划分。和解协议作为合同的补充文件。</w:t>
      </w:r>
    </w:p>
    <w:p w14:paraId="41771CCA">
      <w:pPr>
        <w:rPr>
          <w:rFonts w:ascii="Times New Roman" w:hAnsi="Times New Roman"/>
          <w:color w:val="000000" w:themeColor="text1"/>
          <w14:textFill>
            <w14:solidFill>
              <w14:schemeClr w14:val="tx1"/>
            </w14:solidFill>
          </w14:textFill>
        </w:rPr>
      </w:pPr>
      <w:r>
        <w:rPr>
          <w:rFonts w:ascii="Times New Roman" w:hAnsi="Times New Roman"/>
          <w:b/>
        </w:rPr>
        <w:t>14.3.3</w:t>
      </w:r>
      <w:r>
        <w:rPr>
          <w:rFonts w:ascii="Times New Roman" w:hAnsi="Times New Roman"/>
        </w:rPr>
        <w:t xml:space="preserve">  协商不成的，发包人应按合</w:t>
      </w:r>
      <w:r>
        <w:rPr>
          <w:rFonts w:ascii="Times New Roman" w:hAnsi="Times New Roman"/>
          <w:color w:val="000000" w:themeColor="text1"/>
          <w14:textFill>
            <w14:solidFill>
              <w14:schemeClr w14:val="tx1"/>
            </w14:solidFill>
          </w14:textFill>
        </w:rPr>
        <w:t>同约定的争议解决方式，及时启动调解、仲裁或诉讼程序，防止争议久拖不决。</w:t>
      </w:r>
      <w:r>
        <w:rPr>
          <w:rFonts w:hint="eastAsia" w:ascii="Times New Roman" w:hAnsi="Times New Roman"/>
          <w:color w:val="000000" w:themeColor="text1"/>
          <w14:textFill>
            <w14:solidFill>
              <w14:schemeClr w14:val="tx1"/>
            </w14:solidFill>
          </w14:textFill>
        </w:rPr>
        <w:t>工程总承包项目合同约定由工程师对争议事项进行商定或确定的，应在争议提交仲裁或诉讼前，由工程师按合同约定的程序处理。</w:t>
      </w:r>
    </w:p>
    <w:p w14:paraId="119844C8">
      <w:pPr>
        <w:rPr>
          <w:rFonts w:ascii="Times New Roman" w:hAnsi="Times New Roman"/>
        </w:rPr>
      </w:pPr>
      <w:r>
        <w:rPr>
          <w:rFonts w:ascii="Times New Roman" w:hAnsi="Times New Roman"/>
          <w:b/>
        </w:rPr>
        <w:t xml:space="preserve">14.3.4 </w:t>
      </w:r>
      <w:r>
        <w:rPr>
          <w:rFonts w:ascii="Times New Roman" w:hAnsi="Times New Roman"/>
        </w:rPr>
        <w:t xml:space="preserve"> 争议处理过程中，发包人应指定专人负责跟踪处理进展，协调内部资源配合调解、仲裁或诉讼活动。</w:t>
      </w:r>
    </w:p>
    <w:p w14:paraId="19936681">
      <w:pPr>
        <w:rPr>
          <w:rFonts w:ascii="Times New Roman" w:hAnsi="Times New Roman"/>
        </w:rPr>
      </w:pPr>
      <w:r>
        <w:rPr>
          <w:rFonts w:ascii="Times New Roman" w:hAnsi="Times New Roman"/>
          <w:b/>
        </w:rPr>
        <w:t>14.3.5</w:t>
      </w:r>
      <w:r>
        <w:rPr>
          <w:rFonts w:ascii="Times New Roman" w:hAnsi="Times New Roman"/>
        </w:rPr>
        <w:t xml:space="preserve">  争议解决期间，除争议事项外，合同双方应继续履行合同约定的其他义务，不得以存在争议为由中止合同履行。</w:t>
      </w:r>
    </w:p>
    <w:p w14:paraId="46D01F08">
      <w:pPr>
        <w:rPr>
          <w:rFonts w:ascii="Times New Roman" w:hAnsi="Times New Roman"/>
        </w:rPr>
      </w:pPr>
      <w:r>
        <w:rPr>
          <w:rFonts w:ascii="Times New Roman" w:hAnsi="Times New Roman"/>
          <w:b/>
        </w:rPr>
        <w:t>14.3.6</w:t>
      </w:r>
      <w:r>
        <w:rPr>
          <w:rFonts w:ascii="Times New Roman" w:hAnsi="Times New Roman"/>
        </w:rPr>
        <w:t xml:space="preserve">  因争议事项确需暂停部分工作的，主张方应提出书面申请，经双方确认暂停范围、起止时间和后续安排后方可执行。因争议导致停工的，应明确停工期间的责任归属和费用承担。</w:t>
      </w:r>
    </w:p>
    <w:p w14:paraId="39434A47">
      <w:pPr>
        <w:pStyle w:val="3"/>
      </w:pPr>
      <w:bookmarkStart w:id="808" w:name="_Toc293240702"/>
      <w:bookmarkStart w:id="809" w:name="_Toc851184510"/>
      <w:bookmarkStart w:id="810" w:name="_Toc2133902680"/>
      <w:bookmarkStart w:id="811" w:name="_Toc231665587"/>
      <w:bookmarkStart w:id="812" w:name="_Toc607625293"/>
      <w:bookmarkStart w:id="813" w:name="_Toc2141014611"/>
      <w:bookmarkStart w:id="814" w:name="_Toc1925233120"/>
      <w:bookmarkStart w:id="815" w:name="_Toc1389711270"/>
      <w:bookmarkStart w:id="816" w:name="_Toc801748144"/>
      <w:r>
        <w:t>14.4  争议处理的执行与归档</w:t>
      </w:r>
      <w:bookmarkEnd w:id="808"/>
      <w:bookmarkEnd w:id="809"/>
      <w:bookmarkEnd w:id="810"/>
      <w:bookmarkEnd w:id="811"/>
      <w:bookmarkEnd w:id="812"/>
      <w:bookmarkEnd w:id="813"/>
      <w:bookmarkEnd w:id="814"/>
      <w:bookmarkEnd w:id="815"/>
      <w:bookmarkEnd w:id="816"/>
    </w:p>
    <w:p w14:paraId="65854D7F">
      <w:pPr>
        <w:rPr>
          <w:rFonts w:ascii="Times New Roman" w:hAnsi="Times New Roman"/>
        </w:rPr>
      </w:pPr>
      <w:r>
        <w:rPr>
          <w:rFonts w:ascii="Times New Roman" w:hAnsi="Times New Roman"/>
          <w:b/>
        </w:rPr>
        <w:t>14.4.1</w:t>
      </w:r>
      <w:r>
        <w:rPr>
          <w:rFonts w:ascii="Times New Roman" w:hAnsi="Times New Roman"/>
        </w:rPr>
        <w:t xml:space="preserve">  争议处理结果形成后，发包人应监督并督促相关方按处理结果执行，对执行情况进行跟踪确认。</w:t>
      </w:r>
    </w:p>
    <w:p w14:paraId="45FAFAD2">
      <w:pPr>
        <w:rPr>
          <w:rFonts w:ascii="Times New Roman" w:hAnsi="Times New Roman"/>
        </w:rPr>
      </w:pPr>
      <w:r>
        <w:rPr>
          <w:rFonts w:ascii="Times New Roman" w:hAnsi="Times New Roman"/>
          <w:b/>
        </w:rPr>
        <w:t>14.4.2</w:t>
      </w:r>
      <w:r>
        <w:rPr>
          <w:rFonts w:ascii="Times New Roman" w:hAnsi="Times New Roman"/>
        </w:rPr>
        <w:t xml:space="preserve">  争议处理完毕后，发包人应组织总结分析，识别管理漏洞，完善合同管理和风险防范机制。</w:t>
      </w:r>
    </w:p>
    <w:p w14:paraId="3877AFA2">
      <w:pPr>
        <w:rPr>
          <w:rFonts w:ascii="Times New Roman" w:hAnsi="Times New Roman"/>
        </w:rPr>
      </w:pPr>
      <w:r>
        <w:rPr>
          <w:rFonts w:ascii="Times New Roman" w:hAnsi="Times New Roman"/>
          <w:b/>
        </w:rPr>
        <w:t>14.4.3</w:t>
      </w:r>
      <w:r>
        <w:rPr>
          <w:rFonts w:ascii="Times New Roman" w:hAnsi="Times New Roman"/>
        </w:rPr>
        <w:t xml:space="preserve">  争议管理过程中形成的协商记录、和解协议、调解书、裁决书、判决书等文件，应作为合同管理档案的组成部分归档保存。</w:t>
      </w:r>
    </w:p>
    <w:p w14:paraId="1B3A3FC1">
      <w:pPr>
        <w:rPr>
          <w:rFonts w:ascii="Times New Roman" w:hAnsi="Times New Roman"/>
        </w:rPr>
      </w:pPr>
      <w:r>
        <w:rPr>
          <w:rFonts w:ascii="Times New Roman" w:hAnsi="Times New Roman"/>
        </w:rPr>
        <w:br w:type="page"/>
      </w:r>
    </w:p>
    <w:p w14:paraId="50E0D8B2">
      <w:pPr>
        <w:pStyle w:val="2"/>
      </w:pPr>
      <w:bookmarkStart w:id="817" w:name="_Toc500381454"/>
      <w:bookmarkStart w:id="818" w:name="_Toc1495687161"/>
      <w:bookmarkStart w:id="819" w:name="_Toc231665588"/>
      <w:bookmarkStart w:id="820" w:name="_Toc971443461"/>
      <w:bookmarkStart w:id="821" w:name="_Toc139302547"/>
      <w:bookmarkStart w:id="822" w:name="_Toc636866571"/>
      <w:bookmarkStart w:id="823" w:name="_Toc1753981578"/>
      <w:bookmarkStart w:id="824" w:name="_Toc1498611474"/>
      <w:bookmarkStart w:id="825" w:name="_Toc1576762292"/>
      <w:r>
        <w:t>15  主管部门监督管理</w:t>
      </w:r>
      <w:bookmarkEnd w:id="817"/>
      <w:bookmarkEnd w:id="818"/>
      <w:bookmarkEnd w:id="819"/>
      <w:bookmarkEnd w:id="820"/>
      <w:bookmarkEnd w:id="821"/>
      <w:bookmarkEnd w:id="822"/>
      <w:bookmarkEnd w:id="823"/>
      <w:bookmarkEnd w:id="824"/>
      <w:bookmarkEnd w:id="825"/>
    </w:p>
    <w:p w14:paraId="5CE5F8A8">
      <w:pPr>
        <w:pStyle w:val="3"/>
      </w:pPr>
      <w:bookmarkStart w:id="826" w:name="_Toc590002328"/>
      <w:bookmarkStart w:id="827" w:name="_Toc17681576"/>
      <w:bookmarkStart w:id="828" w:name="_Toc1982895649"/>
      <w:bookmarkStart w:id="829" w:name="_Toc848262905"/>
      <w:bookmarkStart w:id="830" w:name="_Toc735409514"/>
      <w:bookmarkStart w:id="831" w:name="_Toc339032404"/>
      <w:bookmarkStart w:id="832" w:name="_Toc541577819"/>
      <w:bookmarkStart w:id="833" w:name="_Toc1963813886"/>
      <w:bookmarkStart w:id="834" w:name="_Toc231665589"/>
      <w:r>
        <w:t>15.1  一般原则</w:t>
      </w:r>
      <w:bookmarkEnd w:id="826"/>
      <w:bookmarkEnd w:id="827"/>
      <w:bookmarkEnd w:id="828"/>
      <w:bookmarkEnd w:id="829"/>
      <w:bookmarkEnd w:id="830"/>
      <w:bookmarkEnd w:id="831"/>
      <w:bookmarkEnd w:id="832"/>
      <w:bookmarkEnd w:id="833"/>
      <w:bookmarkEnd w:id="834"/>
    </w:p>
    <w:p w14:paraId="7D81369E">
      <w:pPr>
        <w:rPr>
          <w:rFonts w:ascii="Times New Roman" w:hAnsi="Times New Roman"/>
        </w:rPr>
      </w:pPr>
      <w:r>
        <w:rPr>
          <w:rFonts w:ascii="Times New Roman" w:hAnsi="Times New Roman"/>
          <w:b/>
        </w:rPr>
        <w:t>15.1.1</w:t>
      </w:r>
      <w:r>
        <w:rPr>
          <w:rFonts w:ascii="Times New Roman" w:hAnsi="Times New Roman"/>
        </w:rPr>
        <w:t xml:space="preserve">  行业主管部门依法对工程建设项目招标投标履约活动实施监督管理，督促各方落实主体责任。</w:t>
      </w:r>
    </w:p>
    <w:p w14:paraId="611959B0">
      <w:pPr>
        <w:rPr>
          <w:rFonts w:ascii="Times New Roman" w:hAnsi="Times New Roman"/>
        </w:rPr>
      </w:pPr>
      <w:r>
        <w:rPr>
          <w:rFonts w:ascii="Times New Roman" w:hAnsi="Times New Roman"/>
          <w:b/>
        </w:rPr>
        <w:t>15.1.2</w:t>
      </w:r>
      <w:r>
        <w:rPr>
          <w:rFonts w:ascii="Times New Roman" w:hAnsi="Times New Roman"/>
        </w:rPr>
        <w:t xml:space="preserve">  监督管理应遵循依法依规、公正高效、协同配合的原则。</w:t>
      </w:r>
    </w:p>
    <w:p w14:paraId="24928C61">
      <w:pPr>
        <w:rPr>
          <w:rFonts w:ascii="Times New Roman" w:hAnsi="Times New Roman"/>
        </w:rPr>
      </w:pPr>
      <w:r>
        <w:rPr>
          <w:rFonts w:ascii="Times New Roman" w:hAnsi="Times New Roman"/>
          <w:b/>
        </w:rPr>
        <w:t>15.1.3</w:t>
      </w:r>
      <w:r>
        <w:rPr>
          <w:rFonts w:ascii="Times New Roman" w:hAnsi="Times New Roman"/>
        </w:rPr>
        <w:t xml:space="preserve">  发包人、承包人及其他参建方应接受行业主管部门的监督检查，如实提供相关资料，配合开展调查取证工作。</w:t>
      </w:r>
    </w:p>
    <w:p w14:paraId="25203E1B">
      <w:pPr>
        <w:pStyle w:val="3"/>
      </w:pPr>
      <w:bookmarkStart w:id="835" w:name="_Toc1004349367"/>
      <w:bookmarkStart w:id="836" w:name="_Toc795780790"/>
      <w:bookmarkStart w:id="837" w:name="_Toc231665590"/>
      <w:bookmarkStart w:id="838" w:name="_Toc1302582624"/>
      <w:bookmarkStart w:id="839" w:name="_Toc1867867712"/>
      <w:bookmarkStart w:id="840" w:name="_Toc1888554570"/>
      <w:bookmarkStart w:id="841" w:name="_Toc909138942"/>
      <w:bookmarkStart w:id="842" w:name="_Toc684582790"/>
      <w:bookmarkStart w:id="843" w:name="_Toc932252886"/>
      <w:r>
        <w:t>15.2  监督管理职责与方式</w:t>
      </w:r>
      <w:bookmarkEnd w:id="835"/>
      <w:bookmarkEnd w:id="836"/>
      <w:bookmarkEnd w:id="837"/>
      <w:bookmarkEnd w:id="838"/>
      <w:bookmarkEnd w:id="839"/>
      <w:bookmarkEnd w:id="840"/>
      <w:bookmarkEnd w:id="841"/>
      <w:bookmarkEnd w:id="842"/>
      <w:bookmarkEnd w:id="843"/>
    </w:p>
    <w:p w14:paraId="60FB559E">
      <w:pPr>
        <w:rPr>
          <w:rFonts w:ascii="Times New Roman" w:hAnsi="Times New Roman"/>
        </w:rPr>
      </w:pPr>
      <w:r>
        <w:rPr>
          <w:rFonts w:ascii="Times New Roman" w:hAnsi="Times New Roman"/>
          <w:b/>
        </w:rPr>
        <w:t>15.2.1</w:t>
      </w:r>
      <w:r>
        <w:rPr>
          <w:rFonts w:ascii="Times New Roman" w:hAnsi="Times New Roman"/>
        </w:rPr>
        <w:t xml:space="preserve">  行业主管部门按职责分工，负责所辖行业领域内工程建设项目履约活动的监督管理工作。</w:t>
      </w:r>
    </w:p>
    <w:p w14:paraId="25107700">
      <w:pPr>
        <w:rPr>
          <w:rFonts w:ascii="Times New Roman" w:hAnsi="Times New Roman"/>
        </w:rPr>
      </w:pPr>
      <w:r>
        <w:rPr>
          <w:rFonts w:ascii="Times New Roman" w:hAnsi="Times New Roman"/>
          <w:b/>
        </w:rPr>
        <w:t>15.2.2</w:t>
      </w:r>
      <w:r>
        <w:rPr>
          <w:rFonts w:ascii="Times New Roman" w:hAnsi="Times New Roman"/>
        </w:rPr>
        <w:t xml:space="preserve">  行业主管部门可采用以下方式开展监督管理：</w:t>
      </w:r>
    </w:p>
    <w:p w14:paraId="03B2045C">
      <w:pPr>
        <w:ind w:firstLine="420"/>
        <w:rPr>
          <w:rFonts w:ascii="Times New Roman" w:hAnsi="Times New Roman"/>
        </w:rPr>
      </w:pPr>
      <w:r>
        <w:rPr>
          <w:rFonts w:ascii="Times New Roman" w:hAnsi="Times New Roman"/>
        </w:rPr>
        <w:t>1  日常巡查；</w:t>
      </w:r>
    </w:p>
    <w:p w14:paraId="5F5DEA3A">
      <w:pPr>
        <w:ind w:firstLine="420"/>
        <w:rPr>
          <w:rFonts w:ascii="Times New Roman" w:hAnsi="Times New Roman"/>
        </w:rPr>
      </w:pPr>
      <w:r>
        <w:rPr>
          <w:rFonts w:ascii="Times New Roman" w:hAnsi="Times New Roman"/>
        </w:rPr>
        <w:t>2  专项检查；</w:t>
      </w:r>
    </w:p>
    <w:p w14:paraId="30EFA4BD">
      <w:pPr>
        <w:ind w:firstLine="420"/>
        <w:rPr>
          <w:rFonts w:ascii="Times New Roman" w:hAnsi="Times New Roman"/>
        </w:rPr>
      </w:pPr>
      <w:r>
        <w:rPr>
          <w:rFonts w:ascii="Times New Roman" w:hAnsi="Times New Roman"/>
        </w:rPr>
        <w:t>3  随机抽查；</w:t>
      </w:r>
    </w:p>
    <w:p w14:paraId="748FAF30">
      <w:pPr>
        <w:ind w:firstLine="420"/>
        <w:rPr>
          <w:rFonts w:ascii="Times New Roman" w:hAnsi="Times New Roman"/>
        </w:rPr>
      </w:pPr>
      <w:r>
        <w:rPr>
          <w:rFonts w:ascii="Times New Roman" w:hAnsi="Times New Roman"/>
        </w:rPr>
        <w:t>4  联合检查；</w:t>
      </w:r>
    </w:p>
    <w:p w14:paraId="4740BE0C">
      <w:pPr>
        <w:ind w:firstLine="420"/>
        <w:rPr>
          <w:rFonts w:ascii="Times New Roman" w:hAnsi="Times New Roman"/>
        </w:rPr>
      </w:pPr>
      <w:r>
        <w:rPr>
          <w:rFonts w:ascii="Times New Roman" w:hAnsi="Times New Roman"/>
        </w:rPr>
        <w:t>5  投诉举报核查；</w:t>
      </w:r>
    </w:p>
    <w:p w14:paraId="19C7A4B5">
      <w:pPr>
        <w:ind w:firstLine="420"/>
        <w:rPr>
          <w:rFonts w:ascii="Times New Roman" w:hAnsi="Times New Roman"/>
        </w:rPr>
      </w:pPr>
      <w:r>
        <w:rPr>
          <w:rFonts w:ascii="Times New Roman" w:hAnsi="Times New Roman"/>
        </w:rPr>
        <w:t>6  其他依法采取的监督方式。</w:t>
      </w:r>
    </w:p>
    <w:p w14:paraId="1B067F22">
      <w:pPr>
        <w:rPr>
          <w:rFonts w:ascii="Times New Roman" w:hAnsi="Times New Roman"/>
          <w:color w:val="000000" w:themeColor="text1"/>
          <w14:textFill>
            <w14:solidFill>
              <w14:schemeClr w14:val="tx1"/>
            </w14:solidFill>
          </w14:textFill>
        </w:rPr>
      </w:pPr>
      <w:r>
        <w:rPr>
          <w:rFonts w:ascii="Times New Roman" w:hAnsi="Times New Roman"/>
          <w:b/>
        </w:rPr>
        <w:t>15.2.3</w:t>
      </w:r>
      <w:r>
        <w:rPr>
          <w:rFonts w:ascii="Times New Roman" w:hAnsi="Times New Roman"/>
        </w:rPr>
        <w:t xml:space="preserve">  行业主管部门应建立监督信息共享机制，加强跨部门协同配合，形成监</w:t>
      </w:r>
      <w:r>
        <w:rPr>
          <w:rFonts w:ascii="Times New Roman" w:hAnsi="Times New Roman"/>
          <w:color w:val="000000" w:themeColor="text1"/>
          <w14:textFill>
            <w14:solidFill>
              <w14:schemeClr w14:val="tx1"/>
            </w14:solidFill>
          </w14:textFill>
        </w:rPr>
        <w:t>管合力。</w:t>
      </w:r>
    </w:p>
    <w:p w14:paraId="63480AD9">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15.2.4</w:t>
      </w:r>
      <w:r>
        <w:rPr>
          <w:rFonts w:hint="eastAsia" w:ascii="Times New Roman" w:hAnsi="Times New Roman"/>
          <w:color w:val="000000" w:themeColor="text1"/>
          <w14:textFill>
            <w14:solidFill>
              <w14:schemeClr w14:val="tx1"/>
            </w14:solidFill>
          </w14:textFill>
        </w:rPr>
        <w:t xml:space="preserve">  主管部门对施工总承包履约活动的监督管理，主要包括：</w:t>
      </w:r>
    </w:p>
    <w:p w14:paraId="5DD51C51">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  施工许可手续办理情况；</w:t>
      </w:r>
    </w:p>
    <w:p w14:paraId="53AC486F">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  项目经理及主要人员到岗履职情况；</w:t>
      </w:r>
    </w:p>
    <w:p w14:paraId="1363B194">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  违法分包、转包、挂靠等行为；</w:t>
      </w:r>
    </w:p>
    <w:p w14:paraId="72A039C7">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  农民工工资支付保障制度落实情况；</w:t>
      </w:r>
    </w:p>
    <w:p w14:paraId="07D57E48">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  危大工程安全管控情况；</w:t>
      </w:r>
    </w:p>
    <w:p w14:paraId="245A54B8">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6  工程质量和安全生产情况；</w:t>
      </w:r>
    </w:p>
    <w:p w14:paraId="3870D20A">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7  工程款支付担保落实情况；</w:t>
      </w:r>
    </w:p>
    <w:p w14:paraId="5B369024">
      <w:pPr>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8  其他重点监督管理内容。</w:t>
      </w:r>
    </w:p>
    <w:p w14:paraId="57448BFE">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15.2.5</w:t>
      </w:r>
      <w:r>
        <w:rPr>
          <w:rFonts w:hint="eastAsia" w:ascii="Times New Roman" w:hAnsi="Times New Roman"/>
          <w:color w:val="000000" w:themeColor="text1"/>
          <w14:textFill>
            <w14:solidFill>
              <w14:schemeClr w14:val="tx1"/>
            </w14:solidFill>
          </w14:textFill>
        </w:rPr>
        <w:t xml:space="preserve">  施工项目发包人应配合主管部门建立建筑市场与施工现场联动管理机制，按照要求接入信用信息平台等信息化系统，及时报送履约管理信息。</w:t>
      </w:r>
    </w:p>
    <w:p w14:paraId="7BBB8415">
      <w:pPr>
        <w:pStyle w:val="3"/>
      </w:pPr>
      <w:bookmarkStart w:id="844" w:name="_Toc1952541594"/>
      <w:bookmarkStart w:id="845" w:name="_Toc267095232"/>
      <w:bookmarkStart w:id="846" w:name="_Toc231665591"/>
      <w:bookmarkStart w:id="847" w:name="_Toc811816029"/>
      <w:bookmarkStart w:id="848" w:name="_Toc626580635"/>
      <w:bookmarkStart w:id="849" w:name="_Toc245855183"/>
      <w:bookmarkStart w:id="850" w:name="_Toc194325682"/>
      <w:bookmarkStart w:id="851" w:name="_Toc1032373445"/>
      <w:bookmarkStart w:id="852" w:name="_Toc1040680804"/>
      <w:r>
        <w:t>15.3  问题发现与处理</w:t>
      </w:r>
      <w:bookmarkEnd w:id="844"/>
      <w:bookmarkEnd w:id="845"/>
      <w:bookmarkEnd w:id="846"/>
      <w:bookmarkEnd w:id="847"/>
      <w:bookmarkEnd w:id="848"/>
      <w:bookmarkEnd w:id="849"/>
      <w:bookmarkEnd w:id="850"/>
      <w:bookmarkEnd w:id="851"/>
      <w:bookmarkEnd w:id="852"/>
    </w:p>
    <w:p w14:paraId="63C720A6">
      <w:pPr>
        <w:rPr>
          <w:rFonts w:ascii="Times New Roman" w:hAnsi="Times New Roman"/>
        </w:rPr>
      </w:pPr>
      <w:r>
        <w:rPr>
          <w:rFonts w:ascii="Times New Roman" w:hAnsi="Times New Roman"/>
          <w:b/>
        </w:rPr>
        <w:t>15.3.1</w:t>
      </w:r>
      <w:r>
        <w:rPr>
          <w:rFonts w:ascii="Times New Roman" w:hAnsi="Times New Roman"/>
        </w:rPr>
        <w:t xml:space="preserve">  行业主管部门在监督检查中发现问题的，应依法依规出具书面整改通知，明确问题内容、整改要求和完成期限。</w:t>
      </w:r>
    </w:p>
    <w:p w14:paraId="693C666E">
      <w:pPr>
        <w:rPr>
          <w:rFonts w:ascii="Times New Roman" w:hAnsi="Times New Roman"/>
        </w:rPr>
      </w:pPr>
      <w:r>
        <w:rPr>
          <w:rFonts w:ascii="Times New Roman" w:hAnsi="Times New Roman"/>
          <w:b/>
        </w:rPr>
        <w:t>15.3.2</w:t>
      </w:r>
      <w:r>
        <w:rPr>
          <w:rFonts w:ascii="Times New Roman" w:hAnsi="Times New Roman"/>
        </w:rPr>
        <w:t xml:space="preserve">  责任单位应在限定期限内完成整改，并向行业主管部门书面报告整改结果。行业主管部门应对整改情况进行跟踪核实。</w:t>
      </w:r>
    </w:p>
    <w:p w14:paraId="4D3279E7">
      <w:pPr>
        <w:rPr>
          <w:rFonts w:ascii="Times New Roman" w:hAnsi="Times New Roman"/>
        </w:rPr>
      </w:pPr>
      <w:r>
        <w:rPr>
          <w:rFonts w:ascii="Times New Roman" w:hAnsi="Times New Roman"/>
          <w:b/>
        </w:rPr>
        <w:t>15.3.3</w:t>
      </w:r>
      <w:r>
        <w:rPr>
          <w:rFonts w:ascii="Times New Roman" w:hAnsi="Times New Roman"/>
        </w:rPr>
        <w:t xml:space="preserve">  对存在重大质量安全隐患或严重违法违规行为的，行业主管部门可依法责令暂停施工或相关作业。</w:t>
      </w:r>
    </w:p>
    <w:p w14:paraId="247B7AFF">
      <w:pPr>
        <w:rPr>
          <w:rFonts w:ascii="Times New Roman" w:hAnsi="Times New Roman"/>
        </w:rPr>
      </w:pPr>
      <w:r>
        <w:rPr>
          <w:rFonts w:ascii="Times New Roman" w:hAnsi="Times New Roman"/>
          <w:b/>
        </w:rPr>
        <w:t>15.3.4</w:t>
      </w:r>
      <w:r>
        <w:rPr>
          <w:rFonts w:ascii="Times New Roman" w:hAnsi="Times New Roman"/>
        </w:rPr>
        <w:t xml:space="preserve">  行业主管部门可根据问题性质和情节轻重，依法采取以下处理措施：</w:t>
      </w:r>
    </w:p>
    <w:p w14:paraId="302A4794">
      <w:pPr>
        <w:ind w:firstLine="420"/>
        <w:rPr>
          <w:rFonts w:ascii="Times New Roman" w:hAnsi="Times New Roman"/>
        </w:rPr>
      </w:pPr>
      <w:r>
        <w:rPr>
          <w:rFonts w:ascii="Times New Roman" w:hAnsi="Times New Roman"/>
        </w:rPr>
        <w:t>1  通报批评；</w:t>
      </w:r>
    </w:p>
    <w:p w14:paraId="6108C26B">
      <w:pPr>
        <w:ind w:firstLine="420"/>
        <w:rPr>
          <w:rFonts w:ascii="Times New Roman" w:hAnsi="Times New Roman"/>
        </w:rPr>
      </w:pPr>
      <w:r>
        <w:rPr>
          <w:rFonts w:ascii="Times New Roman" w:hAnsi="Times New Roman"/>
        </w:rPr>
        <w:t>2  记录不良行为；</w:t>
      </w:r>
    </w:p>
    <w:p w14:paraId="281771EB">
      <w:pPr>
        <w:ind w:firstLine="420"/>
        <w:rPr>
          <w:rFonts w:ascii="Times New Roman" w:hAnsi="Times New Roman"/>
        </w:rPr>
      </w:pPr>
      <w:r>
        <w:rPr>
          <w:rFonts w:ascii="Times New Roman" w:hAnsi="Times New Roman"/>
        </w:rPr>
        <w:t>3  信用扣分；</w:t>
      </w:r>
    </w:p>
    <w:p w14:paraId="2679FF31">
      <w:pPr>
        <w:ind w:firstLine="420"/>
        <w:rPr>
          <w:rFonts w:ascii="Times New Roman" w:hAnsi="Times New Roman"/>
        </w:rPr>
      </w:pPr>
      <w:r>
        <w:rPr>
          <w:rFonts w:ascii="Times New Roman" w:hAnsi="Times New Roman"/>
        </w:rPr>
        <w:t>4  行政处罚；</w:t>
      </w:r>
    </w:p>
    <w:p w14:paraId="313FC4D5">
      <w:pPr>
        <w:ind w:firstLine="420"/>
        <w:rPr>
          <w:rFonts w:ascii="Times New Roman" w:hAnsi="Times New Roman"/>
        </w:rPr>
      </w:pPr>
      <w:r>
        <w:rPr>
          <w:rFonts w:ascii="Times New Roman" w:hAnsi="Times New Roman"/>
        </w:rPr>
        <w:t>5  法律规定的其他措施。</w:t>
      </w:r>
    </w:p>
    <w:p w14:paraId="766EE489">
      <w:pPr>
        <w:pStyle w:val="3"/>
      </w:pPr>
      <w:bookmarkStart w:id="853" w:name="_Toc728796045"/>
      <w:bookmarkStart w:id="854" w:name="_Toc683650884"/>
      <w:bookmarkStart w:id="855" w:name="_Toc1023213891"/>
      <w:bookmarkStart w:id="856" w:name="_Toc1715666405"/>
      <w:bookmarkStart w:id="857" w:name="_Toc2127732893"/>
      <w:bookmarkStart w:id="858" w:name="_Toc651790237"/>
      <w:bookmarkStart w:id="859" w:name="_Toc231665592"/>
      <w:bookmarkStart w:id="860" w:name="_Toc2091463185"/>
      <w:bookmarkStart w:id="861" w:name="_Toc629139337"/>
      <w:r>
        <w:t>15.4  信用管理与信息报送</w:t>
      </w:r>
      <w:bookmarkEnd w:id="853"/>
      <w:bookmarkEnd w:id="854"/>
      <w:bookmarkEnd w:id="855"/>
      <w:bookmarkEnd w:id="856"/>
      <w:bookmarkEnd w:id="857"/>
      <w:bookmarkEnd w:id="858"/>
      <w:bookmarkEnd w:id="859"/>
      <w:bookmarkEnd w:id="860"/>
      <w:bookmarkEnd w:id="861"/>
    </w:p>
    <w:p w14:paraId="17424EB6">
      <w:pPr>
        <w:rPr>
          <w:rFonts w:ascii="Times New Roman" w:hAnsi="Times New Roman"/>
        </w:rPr>
      </w:pPr>
      <w:r>
        <w:rPr>
          <w:rFonts w:ascii="Times New Roman" w:hAnsi="Times New Roman"/>
          <w:b/>
        </w:rPr>
        <w:t>15.4.1</w:t>
      </w:r>
      <w:r>
        <w:rPr>
          <w:rFonts w:ascii="Times New Roman" w:hAnsi="Times New Roman"/>
        </w:rPr>
        <w:t xml:space="preserve">  行业主管部门应将监督检查中认定的违法违规行为和不良行为记入相关责任主体的信用档案，依法实施分级分类监管。</w:t>
      </w:r>
    </w:p>
    <w:p w14:paraId="65D2682B">
      <w:pPr>
        <w:rPr>
          <w:rFonts w:ascii="Times New Roman" w:hAnsi="Times New Roman"/>
        </w:rPr>
      </w:pPr>
      <w:r>
        <w:rPr>
          <w:rFonts w:ascii="Times New Roman" w:hAnsi="Times New Roman"/>
          <w:b/>
        </w:rPr>
        <w:t>15.4.2</w:t>
      </w:r>
      <w:r>
        <w:rPr>
          <w:rFonts w:ascii="Times New Roman" w:hAnsi="Times New Roman"/>
        </w:rPr>
        <w:t xml:space="preserve">  行业主管部门应推动建立跨部门联合惩戒机制，将履约监管结果与招标投标、资质管理、评优评先等联动应用。</w:t>
      </w:r>
    </w:p>
    <w:p w14:paraId="53F32179">
      <w:pPr>
        <w:rPr>
          <w:rFonts w:ascii="Times New Roman" w:hAnsi="Times New Roman"/>
        </w:rPr>
      </w:pPr>
      <w:r>
        <w:rPr>
          <w:rFonts w:ascii="Times New Roman" w:hAnsi="Times New Roman"/>
          <w:b/>
        </w:rPr>
        <w:t>15.4.3</w:t>
      </w:r>
      <w:r>
        <w:rPr>
          <w:rFonts w:ascii="Times New Roman" w:hAnsi="Times New Roman"/>
        </w:rPr>
        <w:t xml:space="preserve">  行业主管部门应建立监督检查档案管理制度，确保监督检查过程可追溯。重大问题和处置情况应及时向上级主管部门报告。</w:t>
      </w:r>
    </w:p>
    <w:p w14:paraId="3157EF5B">
      <w:pPr>
        <w:pStyle w:val="2"/>
      </w:pPr>
      <w:r>
        <w:br w:type="page"/>
      </w:r>
      <w:bookmarkStart w:id="862" w:name="_Toc364135453"/>
      <w:bookmarkStart w:id="863" w:name="_Toc122395404"/>
      <w:bookmarkStart w:id="864" w:name="_Toc1134681941"/>
      <w:bookmarkStart w:id="865" w:name="_Toc770124247"/>
      <w:bookmarkStart w:id="866" w:name="_Toc269826250"/>
      <w:bookmarkStart w:id="867" w:name="_Toc1617579660"/>
      <w:bookmarkStart w:id="868" w:name="_Toc73024427"/>
      <w:bookmarkStart w:id="869" w:name="_Toc231665593"/>
      <w:bookmarkStart w:id="870" w:name="_Toc1979203939"/>
      <w:r>
        <w:t>16  履约管理数智化</w:t>
      </w:r>
      <w:bookmarkEnd w:id="862"/>
      <w:bookmarkEnd w:id="863"/>
      <w:bookmarkEnd w:id="864"/>
      <w:bookmarkEnd w:id="865"/>
      <w:bookmarkEnd w:id="866"/>
      <w:bookmarkEnd w:id="867"/>
      <w:bookmarkEnd w:id="868"/>
      <w:bookmarkEnd w:id="869"/>
      <w:bookmarkEnd w:id="870"/>
    </w:p>
    <w:p w14:paraId="15864C14">
      <w:pPr>
        <w:pStyle w:val="3"/>
      </w:pPr>
      <w:bookmarkStart w:id="871" w:name="_Toc786659056"/>
      <w:bookmarkStart w:id="872" w:name="_Toc290464222"/>
      <w:bookmarkStart w:id="873" w:name="_Toc884832517"/>
      <w:bookmarkStart w:id="874" w:name="_Toc610739784"/>
      <w:bookmarkStart w:id="875" w:name="_Toc231665594"/>
      <w:bookmarkStart w:id="876" w:name="_Toc179367796"/>
      <w:bookmarkStart w:id="877" w:name="_Toc988837893"/>
      <w:bookmarkStart w:id="878" w:name="_Toc766236583"/>
      <w:bookmarkStart w:id="879" w:name="_Toc1413376249"/>
      <w:r>
        <w:t>16.1  一般规定</w:t>
      </w:r>
      <w:bookmarkEnd w:id="871"/>
      <w:bookmarkEnd w:id="872"/>
      <w:bookmarkEnd w:id="873"/>
      <w:bookmarkEnd w:id="874"/>
      <w:bookmarkEnd w:id="875"/>
      <w:bookmarkEnd w:id="876"/>
      <w:bookmarkEnd w:id="877"/>
      <w:bookmarkEnd w:id="878"/>
      <w:bookmarkEnd w:id="879"/>
    </w:p>
    <w:p w14:paraId="5C2162D2">
      <w:pPr>
        <w:rPr>
          <w:rFonts w:ascii="Times New Roman" w:hAnsi="Times New Roman"/>
        </w:rPr>
      </w:pPr>
      <w:r>
        <w:rPr>
          <w:rFonts w:ascii="Times New Roman" w:hAnsi="Times New Roman"/>
          <w:b/>
        </w:rPr>
        <w:t>16.1.1</w:t>
      </w:r>
      <w:r>
        <w:rPr>
          <w:rFonts w:ascii="Times New Roman" w:hAnsi="Times New Roman"/>
        </w:rPr>
        <w:t xml:space="preserve">  履约管理数智化是应用数字化、智能化技术，对合同履约全过程实施数据采集、监测分析、预警控制和信息共享的管理方式。</w:t>
      </w:r>
    </w:p>
    <w:p w14:paraId="07D8FE0A">
      <w:pPr>
        <w:rPr>
          <w:rFonts w:ascii="Times New Roman" w:hAnsi="Times New Roman"/>
        </w:rPr>
      </w:pPr>
      <w:r>
        <w:rPr>
          <w:rFonts w:ascii="Times New Roman" w:hAnsi="Times New Roman"/>
          <w:b/>
        </w:rPr>
        <w:t>16.1.2</w:t>
      </w:r>
      <w:r>
        <w:rPr>
          <w:rFonts w:ascii="Times New Roman" w:hAnsi="Times New Roman"/>
        </w:rPr>
        <w:t xml:space="preserve">  发包人宜积极推动履约管理数智化转型，遵循统一标准、全程覆盖、数据安全的原则，提升履约管理效率和精细化水平。</w:t>
      </w:r>
    </w:p>
    <w:p w14:paraId="2A9680C1">
      <w:pPr>
        <w:rPr>
          <w:rFonts w:ascii="Times New Roman" w:hAnsi="Times New Roman"/>
        </w:rPr>
      </w:pPr>
      <w:r>
        <w:rPr>
          <w:rFonts w:ascii="Times New Roman" w:hAnsi="Times New Roman"/>
          <w:b/>
        </w:rPr>
        <w:t>16.1.3</w:t>
      </w:r>
      <w:r>
        <w:rPr>
          <w:rFonts w:ascii="Times New Roman" w:hAnsi="Times New Roman"/>
        </w:rPr>
        <w:t xml:space="preserve">  数智化履约管理应与现行管理制度和管理流程相融合，不应脱离实际管理需求单独建设。</w:t>
      </w:r>
    </w:p>
    <w:p w14:paraId="6AD62BA6">
      <w:pPr>
        <w:pStyle w:val="3"/>
      </w:pPr>
      <w:bookmarkStart w:id="880" w:name="_Toc231665595"/>
      <w:bookmarkStart w:id="881" w:name="_Toc709798028"/>
      <w:bookmarkStart w:id="882" w:name="_Toc101743630"/>
      <w:bookmarkStart w:id="883" w:name="_Toc555185415"/>
      <w:bookmarkStart w:id="884" w:name="_Toc2099981659"/>
      <w:bookmarkStart w:id="885" w:name="_Toc774750237"/>
      <w:bookmarkStart w:id="886" w:name="_Toc287331360"/>
      <w:bookmarkStart w:id="887" w:name="_Toc992710713"/>
      <w:bookmarkStart w:id="888" w:name="_Toc1665060629"/>
      <w:r>
        <w:t>16.2  数智化管理平台</w:t>
      </w:r>
      <w:bookmarkEnd w:id="880"/>
      <w:bookmarkEnd w:id="881"/>
      <w:bookmarkEnd w:id="882"/>
      <w:bookmarkEnd w:id="883"/>
      <w:bookmarkEnd w:id="884"/>
      <w:bookmarkEnd w:id="885"/>
      <w:bookmarkEnd w:id="886"/>
      <w:bookmarkEnd w:id="887"/>
      <w:bookmarkEnd w:id="888"/>
    </w:p>
    <w:p w14:paraId="355580B5">
      <w:pPr>
        <w:rPr>
          <w:rFonts w:ascii="Times New Roman" w:hAnsi="Times New Roman"/>
        </w:rPr>
      </w:pPr>
      <w:r>
        <w:rPr>
          <w:rFonts w:ascii="Times New Roman" w:hAnsi="Times New Roman"/>
          <w:b/>
        </w:rPr>
        <w:t>16.2.1</w:t>
      </w:r>
      <w:r>
        <w:rPr>
          <w:rFonts w:ascii="Times New Roman" w:hAnsi="Times New Roman"/>
        </w:rPr>
        <w:t xml:space="preserve">  发包人宜建设或使用数智化履约管理平台，平台</w:t>
      </w:r>
      <w:r>
        <w:rPr>
          <w:rFonts w:hint="eastAsia" w:ascii="Times New Roman" w:hAnsi="Times New Roman"/>
          <w:color w:val="EE0000"/>
        </w:rPr>
        <w:t>应具备</w:t>
      </w:r>
      <w:r>
        <w:rPr>
          <w:rFonts w:ascii="Times New Roman" w:hAnsi="Times New Roman"/>
        </w:rPr>
        <w:t>以下</w:t>
      </w:r>
      <w:r>
        <w:rPr>
          <w:rFonts w:hint="eastAsia" w:ascii="Times New Roman" w:hAnsi="Times New Roman"/>
          <w:color w:val="EE0000"/>
        </w:rPr>
        <w:t>主要</w:t>
      </w:r>
      <w:r>
        <w:rPr>
          <w:rFonts w:ascii="Times New Roman" w:hAnsi="Times New Roman"/>
        </w:rPr>
        <w:t>功能：</w:t>
      </w:r>
    </w:p>
    <w:p w14:paraId="2C376DE8">
      <w:pPr>
        <w:ind w:firstLine="420"/>
        <w:rPr>
          <w:rFonts w:ascii="Times New Roman" w:hAnsi="Times New Roman"/>
        </w:rPr>
      </w:pPr>
      <w:r>
        <w:rPr>
          <w:rFonts w:ascii="Times New Roman" w:hAnsi="Times New Roman"/>
        </w:rPr>
        <w:t>1  合同管理与履约清单管理；</w:t>
      </w:r>
    </w:p>
    <w:p w14:paraId="65802210">
      <w:pPr>
        <w:ind w:firstLine="420"/>
        <w:rPr>
          <w:rFonts w:ascii="Times New Roman" w:hAnsi="Times New Roman"/>
        </w:rPr>
      </w:pPr>
      <w:r>
        <w:rPr>
          <w:rFonts w:ascii="Times New Roman" w:hAnsi="Times New Roman"/>
        </w:rPr>
        <w:t>2  履约过程记录与问题跟踪；</w:t>
      </w:r>
    </w:p>
    <w:p w14:paraId="7FA7B645">
      <w:pPr>
        <w:ind w:firstLine="420"/>
        <w:rPr>
          <w:rFonts w:ascii="Times New Roman" w:hAnsi="Times New Roman"/>
        </w:rPr>
      </w:pPr>
      <w:r>
        <w:rPr>
          <w:rFonts w:ascii="Times New Roman" w:hAnsi="Times New Roman"/>
        </w:rPr>
        <w:t>3  进度、质量、安全、费用等履约要素的动态监测与预警；</w:t>
      </w:r>
    </w:p>
    <w:p w14:paraId="60087BF0">
      <w:pPr>
        <w:ind w:firstLine="420"/>
        <w:rPr>
          <w:rFonts w:ascii="Times New Roman" w:hAnsi="Times New Roman"/>
        </w:rPr>
      </w:pPr>
      <w:r>
        <w:rPr>
          <w:rFonts w:ascii="Times New Roman" w:hAnsi="Times New Roman"/>
        </w:rPr>
        <w:t>4  履约验收与履约评价；</w:t>
      </w:r>
    </w:p>
    <w:p w14:paraId="40877E3B">
      <w:pPr>
        <w:ind w:firstLine="420"/>
        <w:rPr>
          <w:rFonts w:ascii="Times New Roman" w:hAnsi="Times New Roman"/>
        </w:rPr>
      </w:pPr>
      <w:r>
        <w:rPr>
          <w:rFonts w:ascii="Times New Roman" w:hAnsi="Times New Roman"/>
        </w:rPr>
        <w:t>5  信用信息归集与报送；</w:t>
      </w:r>
    </w:p>
    <w:p w14:paraId="29026152">
      <w:pPr>
        <w:ind w:firstLine="420"/>
        <w:rPr>
          <w:rFonts w:ascii="Times New Roman" w:hAnsi="Times New Roman"/>
        </w:rPr>
      </w:pPr>
      <w:r>
        <w:rPr>
          <w:rFonts w:ascii="Times New Roman" w:hAnsi="Times New Roman"/>
        </w:rPr>
        <w:t>6  电子档案管理。</w:t>
      </w:r>
    </w:p>
    <w:p w14:paraId="5B5C4FFE">
      <w:pPr>
        <w:rPr>
          <w:rFonts w:ascii="Times New Roman" w:hAnsi="Times New Roman"/>
          <w:color w:val="000000" w:themeColor="text1"/>
          <w14:textFill>
            <w14:solidFill>
              <w14:schemeClr w14:val="tx1"/>
            </w14:solidFill>
          </w14:textFill>
        </w:rPr>
      </w:pPr>
      <w:r>
        <w:rPr>
          <w:rFonts w:ascii="Times New Roman" w:hAnsi="Times New Roman"/>
          <w:b/>
        </w:rPr>
        <w:t>16.2.2</w:t>
      </w:r>
      <w:r>
        <w:rPr>
          <w:rFonts w:ascii="Times New Roman" w:hAnsi="Times New Roman"/>
        </w:rPr>
        <w:t xml:space="preserve">  数智化管理平</w:t>
      </w:r>
      <w:r>
        <w:rPr>
          <w:rFonts w:ascii="Times New Roman" w:hAnsi="Times New Roman"/>
          <w:color w:val="000000" w:themeColor="text1"/>
          <w14:textFill>
            <w14:solidFill>
              <w14:schemeClr w14:val="tx1"/>
            </w14:solidFill>
          </w14:textFill>
        </w:rPr>
        <w:t>台应符合网络安全等级保护要求，支持多终端访问，具备与行业监管平台对接的能力。</w:t>
      </w:r>
    </w:p>
    <w:p w14:paraId="7F75AEDE">
      <w:pP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16.2.3</w:t>
      </w:r>
      <w:r>
        <w:rPr>
          <w:rFonts w:hint="eastAsia" w:ascii="Times New Roman" w:hAnsi="Times New Roman"/>
          <w:color w:val="000000" w:themeColor="text1"/>
          <w14:textFill>
            <w14:solidFill>
              <w14:schemeClr w14:val="tx1"/>
            </w14:solidFill>
          </w14:textFill>
        </w:rPr>
        <w:t xml:space="preserve">  发包人宜要求承包人运用物联网、大数据、人工智能等技术，提升管理的信息化、智能化水平。</w:t>
      </w:r>
    </w:p>
    <w:p w14:paraId="60C2748E">
      <w:pPr>
        <w:ind w:firstLine="480" w:firstLineChars="200"/>
        <w:rPr>
          <w:rFonts w:ascii="Times New Roman" w:hAnsi="Times New Roman"/>
          <w:color w:val="EE0000"/>
        </w:rPr>
      </w:pPr>
      <w:r>
        <w:rPr>
          <w:rFonts w:hint="eastAsia" w:ascii="Times New Roman" w:hAnsi="Times New Roman"/>
          <w:color w:val="000000" w:themeColor="text1"/>
          <w14:textFill>
            <w14:solidFill>
              <w14:schemeClr w14:val="tx1"/>
            </w14:solidFill>
          </w14:textFill>
        </w:rPr>
        <w:t>鼓励</w:t>
      </w:r>
      <w:r>
        <w:rPr>
          <w:rFonts w:ascii="Times New Roman" w:hAnsi="Times New Roman"/>
          <w:color w:val="000000" w:themeColor="text1"/>
          <w14:textFill>
            <w14:solidFill>
              <w14:schemeClr w14:val="tx1"/>
            </w14:solidFill>
          </w14:textFill>
        </w:rPr>
        <w:t>工程总承包项目</w:t>
      </w:r>
      <w:r>
        <w:rPr>
          <w:rFonts w:hint="eastAsia" w:ascii="Times New Roman" w:hAnsi="Times New Roman"/>
          <w:color w:val="000000" w:themeColor="text1"/>
          <w14:textFill>
            <w14:solidFill>
              <w14:schemeClr w14:val="tx1"/>
            </w14:solidFill>
          </w14:textFill>
        </w:rPr>
        <w:t>积极</w:t>
      </w:r>
      <w:r>
        <w:rPr>
          <w:rFonts w:ascii="Times New Roman" w:hAnsi="Times New Roman"/>
          <w:color w:val="000000" w:themeColor="text1"/>
          <w14:textFill>
            <w14:solidFill>
              <w14:schemeClr w14:val="tx1"/>
            </w14:solidFill>
          </w14:textFill>
        </w:rPr>
        <w:t>建立</w:t>
      </w:r>
      <w:r>
        <w:rPr>
          <w:rFonts w:hint="eastAsia" w:ascii="Times New Roman" w:hAnsi="Times New Roman"/>
          <w:color w:val="000000" w:themeColor="text1"/>
          <w14:textFill>
            <w14:solidFill>
              <w14:schemeClr w14:val="tx1"/>
            </w14:solidFill>
          </w14:textFill>
        </w:rPr>
        <w:t>应用</w:t>
      </w:r>
      <w:r>
        <w:rPr>
          <w:rFonts w:ascii="Times New Roman" w:hAnsi="Times New Roman"/>
          <w:color w:val="000000" w:themeColor="text1"/>
          <w14:textFill>
            <w14:solidFill>
              <w14:schemeClr w14:val="tx1"/>
            </w14:solidFill>
          </w14:textFill>
        </w:rPr>
        <w:t>项目数智化协同管理平台</w:t>
      </w:r>
      <w:r>
        <w:rPr>
          <w:rFonts w:hint="eastAsia" w:ascii="Times New Roman" w:hAnsi="Times New Roman"/>
          <w:color w:val="000000" w:themeColor="text1"/>
          <w14:textFill>
            <w14:solidFill>
              <w14:schemeClr w14:val="tx1"/>
            </w14:solidFill>
          </w14:textFill>
        </w:rPr>
        <w:t>管理。</w:t>
      </w:r>
    </w:p>
    <w:p w14:paraId="1EFE59CF">
      <w:pPr>
        <w:pStyle w:val="3"/>
      </w:pPr>
      <w:bookmarkStart w:id="889" w:name="_Toc1788321298"/>
      <w:bookmarkStart w:id="890" w:name="_Toc1589545368"/>
      <w:bookmarkStart w:id="891" w:name="_Toc843272555"/>
      <w:bookmarkStart w:id="892" w:name="_Toc588151828"/>
      <w:bookmarkStart w:id="893" w:name="_Toc1604842017"/>
      <w:bookmarkStart w:id="894" w:name="_Toc225075546"/>
      <w:bookmarkStart w:id="895" w:name="_Toc1945974205"/>
      <w:bookmarkStart w:id="896" w:name="_Toc231665596"/>
      <w:bookmarkStart w:id="897" w:name="_Toc1704623891"/>
      <w:r>
        <w:t>16.3  数据采集与管理</w:t>
      </w:r>
      <w:bookmarkEnd w:id="889"/>
      <w:bookmarkEnd w:id="890"/>
      <w:bookmarkEnd w:id="891"/>
      <w:bookmarkEnd w:id="892"/>
      <w:bookmarkEnd w:id="893"/>
      <w:bookmarkEnd w:id="894"/>
      <w:bookmarkEnd w:id="895"/>
      <w:bookmarkEnd w:id="896"/>
      <w:bookmarkEnd w:id="897"/>
    </w:p>
    <w:p w14:paraId="1EC81518">
      <w:pPr>
        <w:rPr>
          <w:rFonts w:ascii="Times New Roman" w:hAnsi="Times New Roman"/>
        </w:rPr>
      </w:pPr>
      <w:r>
        <w:rPr>
          <w:rFonts w:ascii="Times New Roman" w:hAnsi="Times New Roman"/>
          <w:b/>
        </w:rPr>
        <w:t>16.3.1</w:t>
      </w:r>
      <w:r>
        <w:rPr>
          <w:rFonts w:ascii="Times New Roman" w:hAnsi="Times New Roman"/>
        </w:rPr>
        <w:t xml:space="preserve">  发包人对履约数据的采集宜覆盖合同履行全过程，采用自动采集与人工录入相结合的方式，确保数据及时、真实、完整。</w:t>
      </w:r>
    </w:p>
    <w:p w14:paraId="7CDE0AB6">
      <w:pPr>
        <w:rPr>
          <w:rFonts w:ascii="Times New Roman" w:hAnsi="Times New Roman"/>
        </w:rPr>
      </w:pPr>
      <w:r>
        <w:rPr>
          <w:rFonts w:ascii="Times New Roman" w:hAnsi="Times New Roman"/>
          <w:b/>
        </w:rPr>
        <w:t>16.3.2</w:t>
      </w:r>
      <w:r>
        <w:rPr>
          <w:rFonts w:ascii="Times New Roman" w:hAnsi="Times New Roman"/>
        </w:rPr>
        <w:t xml:space="preserve">  发包人宜采用数字化设计、智慧施工、建筑机器人、物联网等智能建造技术的项目，宜将相关过程数据接入数智化履约管理平台。</w:t>
      </w:r>
    </w:p>
    <w:p w14:paraId="6D4DF5E1">
      <w:pPr>
        <w:rPr>
          <w:rFonts w:ascii="Times New Roman" w:hAnsi="Times New Roman"/>
        </w:rPr>
      </w:pPr>
      <w:r>
        <w:rPr>
          <w:rFonts w:ascii="Times New Roman" w:hAnsi="Times New Roman"/>
          <w:b/>
        </w:rPr>
        <w:t>16.3.3</w:t>
      </w:r>
      <w:r>
        <w:rPr>
          <w:rFonts w:ascii="Times New Roman" w:hAnsi="Times New Roman"/>
        </w:rPr>
        <w:t xml:space="preserve">  全行业数据共享应遵循按需共享、分级授权的原则，明确数据使用权限和管理责任。</w:t>
      </w:r>
    </w:p>
    <w:p w14:paraId="62DEAC0D">
      <w:pPr>
        <w:rPr>
          <w:rFonts w:ascii="Times New Roman" w:hAnsi="Times New Roman"/>
        </w:rPr>
      </w:pPr>
      <w:r>
        <w:rPr>
          <w:rFonts w:ascii="Times New Roman" w:hAnsi="Times New Roman"/>
          <w:b/>
        </w:rPr>
        <w:t>16.3.4</w:t>
      </w:r>
      <w:r>
        <w:rPr>
          <w:rFonts w:ascii="Times New Roman" w:hAnsi="Times New Roman"/>
        </w:rPr>
        <w:t xml:space="preserve">  发包人宜将智能建造技术的应用情况和实施效果纳入履约过程记录和履约评价范围，作为评价承包人技术创新和施工管理水平的参考依据。</w:t>
      </w:r>
    </w:p>
    <w:p w14:paraId="137B5D8B">
      <w:pPr>
        <w:pStyle w:val="3"/>
      </w:pPr>
      <w:bookmarkStart w:id="898" w:name="_Toc2105000190"/>
      <w:bookmarkStart w:id="899" w:name="_Toc17776685"/>
      <w:bookmarkStart w:id="900" w:name="_Toc254354799"/>
      <w:bookmarkStart w:id="901" w:name="_Toc231665597"/>
      <w:bookmarkStart w:id="902" w:name="_Toc1379714036"/>
      <w:bookmarkStart w:id="903" w:name="_Toc1932512191"/>
      <w:bookmarkStart w:id="904" w:name="_Toc1011922136"/>
      <w:bookmarkStart w:id="905" w:name="_Toc1415635402"/>
      <w:bookmarkStart w:id="906" w:name="_Toc598171528"/>
      <w:r>
        <w:t>16.4  智能化应用</w:t>
      </w:r>
      <w:bookmarkEnd w:id="898"/>
      <w:bookmarkEnd w:id="899"/>
      <w:bookmarkEnd w:id="900"/>
      <w:bookmarkEnd w:id="901"/>
      <w:bookmarkEnd w:id="902"/>
      <w:bookmarkEnd w:id="903"/>
      <w:bookmarkEnd w:id="904"/>
      <w:bookmarkEnd w:id="905"/>
      <w:bookmarkEnd w:id="906"/>
    </w:p>
    <w:p w14:paraId="7EC069C5">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16.4.1</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发包人宜利用数据分析技术，对履约过程数据进行挖掘分析，实现履约风险的智能识别与预警。</w:t>
      </w:r>
    </w:p>
    <w:p w14:paraId="36A6A753">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16.4.2</w:t>
      </w:r>
      <w:r>
        <w:rPr>
          <w:rFonts w:hint="eastAsia" w:ascii="Times New Roman" w:hAnsi="Times New Roman"/>
          <w:b/>
          <w:bCs/>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发包人宜将履约评价指标的采集、评分与数智化平台融合，实现履约评价的自动化计算和结果追溯。</w:t>
      </w:r>
    </w:p>
    <w:p w14:paraId="326DDF43">
      <w:pPr>
        <w:rPr>
          <w:rFonts w:ascii="Times New Roman" w:hAnsi="Times New Roman"/>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16.4.3</w:t>
      </w:r>
      <w:r>
        <w:rPr>
          <w:rFonts w:hint="eastAsia" w:ascii="Times New Roman" w:hAnsi="Times New Roman"/>
          <w:b/>
          <w:bCs/>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推动履约评价结果与信用信息平台的数据互通，实现履约信用信息的在线报送和动态更新。</w:t>
      </w:r>
    </w:p>
    <w:p w14:paraId="3C1AEB73">
      <w:pPr>
        <w:rPr>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16.4.4</w:t>
      </w:r>
      <w:r>
        <w:rPr>
          <w:rFonts w:hint="eastAsia" w:ascii="Times New Roman" w:hAnsi="Times New Roman"/>
          <w:b/>
          <w:bCs/>
          <w:color w:val="000000" w:themeColor="text1"/>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发包人宜将智能建造技术的应用情况和实施效果纳入履约过程记录和履约评价范围，作为评价承包人技术创新和施工管理水平的参考依据。</w:t>
      </w:r>
    </w:p>
    <w:p w14:paraId="6FC77A02">
      <w:pPr>
        <w:pStyle w:val="3"/>
      </w:pPr>
      <w:bookmarkStart w:id="907" w:name="_Toc755155598"/>
      <w:bookmarkStart w:id="908" w:name="_Toc757868601"/>
      <w:bookmarkStart w:id="909" w:name="_Toc135362776"/>
      <w:bookmarkStart w:id="910" w:name="_Toc897634936"/>
      <w:bookmarkStart w:id="911" w:name="_Toc1215799608"/>
      <w:bookmarkStart w:id="912" w:name="_Toc231665598"/>
      <w:bookmarkStart w:id="913" w:name="_Toc960801175"/>
      <w:bookmarkStart w:id="914" w:name="_Toc1151967961"/>
      <w:bookmarkStart w:id="915" w:name="_Toc1123518356"/>
      <w:r>
        <w:t>16.5  数据安全与合规</w:t>
      </w:r>
      <w:bookmarkEnd w:id="907"/>
      <w:bookmarkEnd w:id="908"/>
      <w:bookmarkEnd w:id="909"/>
      <w:bookmarkEnd w:id="910"/>
      <w:bookmarkEnd w:id="911"/>
      <w:bookmarkEnd w:id="912"/>
      <w:bookmarkEnd w:id="913"/>
      <w:bookmarkEnd w:id="914"/>
      <w:bookmarkEnd w:id="915"/>
    </w:p>
    <w:p w14:paraId="52A099C2">
      <w:pPr>
        <w:rPr>
          <w:rFonts w:ascii="Times New Roman" w:hAnsi="Times New Roman"/>
        </w:rPr>
      </w:pPr>
      <w:r>
        <w:rPr>
          <w:rFonts w:ascii="Times New Roman" w:hAnsi="Times New Roman"/>
          <w:b/>
        </w:rPr>
        <w:t>16.5.1</w:t>
      </w:r>
      <w:r>
        <w:rPr>
          <w:rFonts w:ascii="Times New Roman" w:hAnsi="Times New Roman"/>
        </w:rPr>
        <w:t xml:space="preserve">  发包人应建立健全数据安全管理制度，对履约管理数据实行分类分级管理，对敏感数据采取加密存储和传输措施。</w:t>
      </w:r>
    </w:p>
    <w:p w14:paraId="76378B34">
      <w:pPr>
        <w:rPr>
          <w:rFonts w:ascii="Times New Roman" w:hAnsi="Times New Roman"/>
        </w:rPr>
      </w:pPr>
      <w:r>
        <w:rPr>
          <w:rFonts w:ascii="Times New Roman" w:hAnsi="Times New Roman"/>
          <w:b/>
        </w:rPr>
        <w:t>16.5.2</w:t>
      </w:r>
      <w:r>
        <w:rPr>
          <w:rFonts w:ascii="Times New Roman" w:hAnsi="Times New Roman"/>
        </w:rPr>
        <w:t xml:space="preserve">  发包人应建立数据备份与容灾机制，定期进行数据备份和恢复演练，保障数据安全可用。</w:t>
      </w:r>
    </w:p>
    <w:p w14:paraId="4BE44107">
      <w:pPr>
        <w:rPr>
          <w:rFonts w:ascii="Times New Roman" w:hAnsi="Times New Roman"/>
        </w:rPr>
      </w:pPr>
      <w:r>
        <w:rPr>
          <w:rFonts w:ascii="Times New Roman" w:hAnsi="Times New Roman"/>
          <w:b/>
        </w:rPr>
        <w:t>16.5.3</w:t>
      </w:r>
      <w:r>
        <w:rPr>
          <w:rFonts w:ascii="Times New Roman" w:hAnsi="Times New Roman"/>
        </w:rPr>
        <w:t xml:space="preserve">  数智化履约管理中的数据采集、存储、使用和共享，应遵守个人信息保护和数据安全相关法律法规。</w:t>
      </w:r>
    </w:p>
    <w:p w14:paraId="0E9F7C31">
      <w:pPr>
        <w:pStyle w:val="3"/>
      </w:pPr>
      <w:r>
        <w:br w:type="page"/>
      </w:r>
    </w:p>
    <w:p w14:paraId="176C24B1">
      <w:pPr>
        <w:pStyle w:val="2"/>
        <w:rPr>
          <w:rFonts w:eastAsia="方正黑体简体"/>
          <w:color w:val="000000"/>
        </w:rPr>
      </w:pPr>
      <w:bookmarkStart w:id="916" w:name="_Toc1392070994"/>
      <w:bookmarkStart w:id="917" w:name="_Toc700410950"/>
      <w:bookmarkStart w:id="918" w:name="_Toc1208855671"/>
      <w:bookmarkStart w:id="919" w:name="_Toc1165616789"/>
      <w:bookmarkStart w:id="920" w:name="_Toc1028200497"/>
      <w:bookmarkStart w:id="921" w:name="_Toc1102321283"/>
      <w:bookmarkStart w:id="922" w:name="_Toc1753701421"/>
      <w:bookmarkStart w:id="923" w:name="_Toc231665696"/>
      <w:r>
        <w:rPr>
          <w:color w:val="000000"/>
          <w:sz w:val="28"/>
          <w:szCs w:val="28"/>
        </w:rPr>
        <w:t>本标准用词说明</w:t>
      </w:r>
      <w:bookmarkEnd w:id="916"/>
      <w:bookmarkEnd w:id="917"/>
      <w:bookmarkEnd w:id="918"/>
      <w:bookmarkEnd w:id="919"/>
      <w:bookmarkEnd w:id="920"/>
      <w:bookmarkEnd w:id="921"/>
      <w:bookmarkEnd w:id="922"/>
      <w:bookmarkEnd w:id="923"/>
    </w:p>
    <w:p w14:paraId="2AC85951">
      <w:pPr>
        <w:rPr>
          <w:rFonts w:ascii="Times New Roman" w:hAnsi="Times New Roman"/>
          <w:color w:val="000000"/>
        </w:rPr>
      </w:pPr>
      <w:r>
        <w:rPr>
          <w:rFonts w:ascii="Times New Roman" w:hAnsi="Times New Roman"/>
          <w:color w:val="000000"/>
        </w:rPr>
        <w:t xml:space="preserve">    1  为便于在执行本标准条文时区别对待，对要求严格程度不同的用词说明如下：</w:t>
      </w:r>
    </w:p>
    <w:p w14:paraId="6317490C">
      <w:pPr>
        <w:rPr>
          <w:rFonts w:ascii="Times New Roman" w:hAnsi="Times New Roman"/>
          <w:color w:val="000000"/>
        </w:rPr>
      </w:pPr>
      <w:r>
        <w:rPr>
          <w:rFonts w:ascii="Times New Roman" w:hAnsi="Times New Roman"/>
          <w:color w:val="000000"/>
        </w:rPr>
        <w:t xml:space="preserve">       1） 表示很严格，非这样做不可的：</w:t>
      </w:r>
    </w:p>
    <w:p w14:paraId="0F5A3C49">
      <w:pPr>
        <w:ind w:firstLine="1320" w:firstLineChars="550"/>
        <w:rPr>
          <w:rFonts w:ascii="Times New Roman" w:hAnsi="Times New Roman"/>
          <w:color w:val="000000"/>
        </w:rPr>
      </w:pPr>
      <w:r>
        <w:rPr>
          <w:rFonts w:ascii="Times New Roman" w:hAnsi="Times New Roman"/>
          <w:color w:val="000000"/>
        </w:rPr>
        <w:t>正面词采用“必须”；反面词采用“严禁”。</w:t>
      </w:r>
    </w:p>
    <w:p w14:paraId="13C777B7">
      <w:pPr>
        <w:ind w:firstLine="840" w:firstLineChars="350"/>
        <w:rPr>
          <w:rFonts w:ascii="Times New Roman" w:hAnsi="Times New Roman"/>
          <w:color w:val="000000"/>
        </w:rPr>
      </w:pPr>
      <w:r>
        <w:rPr>
          <w:rFonts w:ascii="Times New Roman" w:hAnsi="Times New Roman"/>
          <w:color w:val="000000"/>
        </w:rPr>
        <w:t>2） 表示严格，在正常情况下均应这样做的：</w:t>
      </w:r>
    </w:p>
    <w:p w14:paraId="66486DFC">
      <w:pPr>
        <w:ind w:firstLine="1320" w:firstLineChars="550"/>
        <w:rPr>
          <w:rFonts w:ascii="Times New Roman" w:hAnsi="Times New Roman"/>
          <w:color w:val="000000"/>
        </w:rPr>
      </w:pPr>
      <w:r>
        <w:rPr>
          <w:rFonts w:ascii="Times New Roman" w:hAnsi="Times New Roman"/>
          <w:color w:val="000000"/>
        </w:rPr>
        <w:t>正面词采用“应”；反面词采用“不应”或“不得”。</w:t>
      </w:r>
    </w:p>
    <w:p w14:paraId="03B059D5">
      <w:pPr>
        <w:ind w:firstLine="840" w:firstLineChars="350"/>
        <w:rPr>
          <w:rFonts w:ascii="Times New Roman" w:hAnsi="Times New Roman"/>
          <w:color w:val="000000"/>
        </w:rPr>
      </w:pPr>
      <w:r>
        <w:rPr>
          <w:rFonts w:ascii="Times New Roman" w:hAnsi="Times New Roman"/>
          <w:color w:val="000000"/>
        </w:rPr>
        <w:t>3） 表示允许稍有选择，在条件许可时首先应这样做的：</w:t>
      </w:r>
    </w:p>
    <w:p w14:paraId="1F72E878">
      <w:pPr>
        <w:ind w:firstLine="1320" w:firstLineChars="550"/>
        <w:rPr>
          <w:rFonts w:ascii="Times New Roman" w:hAnsi="Times New Roman"/>
          <w:color w:val="000000"/>
        </w:rPr>
      </w:pPr>
      <w:r>
        <w:rPr>
          <w:rFonts w:ascii="Times New Roman" w:hAnsi="Times New Roman"/>
          <w:color w:val="000000"/>
        </w:rPr>
        <w:t>正面词采用“宜”；反面词采用“不宜”。</w:t>
      </w:r>
    </w:p>
    <w:p w14:paraId="164CFDE4">
      <w:pPr>
        <w:ind w:firstLine="840" w:firstLineChars="350"/>
        <w:rPr>
          <w:rFonts w:ascii="Times New Roman" w:hAnsi="Times New Roman"/>
          <w:color w:val="000000"/>
        </w:rPr>
      </w:pPr>
      <w:r>
        <w:rPr>
          <w:rFonts w:ascii="Times New Roman" w:hAnsi="Times New Roman"/>
          <w:color w:val="000000"/>
        </w:rPr>
        <w:t>4） 表示有选择，在一定条件下可以这样做的，采用“可”。</w:t>
      </w:r>
    </w:p>
    <w:p w14:paraId="22B4D372">
      <w:pPr>
        <w:ind w:firstLine="420"/>
        <w:rPr>
          <w:rFonts w:ascii="Times New Roman" w:hAnsi="Times New Roman"/>
          <w:color w:val="000000"/>
        </w:rPr>
      </w:pPr>
      <w:r>
        <w:rPr>
          <w:rFonts w:ascii="Times New Roman" w:hAnsi="Times New Roman"/>
          <w:color w:val="000000"/>
        </w:rPr>
        <w:t>2  条文中指明应按其它有关标准执行时的写法为“应符合……的规定”或“应按……执行”。</w:t>
      </w:r>
    </w:p>
    <w:p w14:paraId="0E20780F">
      <w:pPr>
        <w:rPr>
          <w:rFonts w:ascii="Times New Roman" w:hAnsi="Times New Roman" w:eastAsia="黑体"/>
          <w:b/>
          <w:bCs/>
          <w:color w:val="000000"/>
          <w:kern w:val="36"/>
          <w:sz w:val="36"/>
          <w:szCs w:val="36"/>
        </w:rPr>
      </w:pPr>
      <w:r>
        <w:rPr>
          <w:rFonts w:ascii="Times New Roman" w:hAnsi="Times New Roman"/>
        </w:rPr>
        <w:br w:type="page"/>
      </w:r>
    </w:p>
    <w:p w14:paraId="0EAAA168">
      <w:pPr>
        <w:rPr>
          <w:rFonts w:ascii="Times New Roman" w:hAnsi="Times New Roman" w:eastAsia="黑体"/>
          <w:b/>
          <w:bCs/>
          <w:color w:val="000000"/>
          <w:kern w:val="36"/>
          <w:sz w:val="36"/>
          <w:szCs w:val="36"/>
        </w:rPr>
      </w:pPr>
    </w:p>
    <w:p w14:paraId="42FED0F9">
      <w:pPr>
        <w:spacing w:before="300" w:line="375" w:lineRule="atLeast"/>
        <w:jc w:val="center"/>
        <w:rPr>
          <w:rFonts w:ascii="Times New Roman" w:hAnsi="Times New Roman"/>
          <w:b/>
          <w:color w:val="000000"/>
          <w:sz w:val="32"/>
          <w:szCs w:val="32"/>
        </w:rPr>
      </w:pPr>
    </w:p>
    <w:p w14:paraId="44A3B128">
      <w:pPr>
        <w:spacing w:before="300" w:line="375" w:lineRule="atLeast"/>
        <w:jc w:val="center"/>
        <w:rPr>
          <w:rFonts w:ascii="Times New Roman" w:hAnsi="Times New Roman"/>
          <w:b/>
          <w:color w:val="000000"/>
          <w:sz w:val="32"/>
          <w:szCs w:val="32"/>
        </w:rPr>
      </w:pPr>
    </w:p>
    <w:p w14:paraId="56D0170F">
      <w:pPr>
        <w:spacing w:before="300" w:line="375" w:lineRule="atLeast"/>
        <w:jc w:val="center"/>
        <w:rPr>
          <w:rFonts w:ascii="Times New Roman" w:hAnsi="Times New Roman"/>
          <w:b/>
          <w:color w:val="000000"/>
          <w:sz w:val="32"/>
          <w:szCs w:val="32"/>
        </w:rPr>
      </w:pPr>
      <w:r>
        <w:rPr>
          <w:rFonts w:ascii="Times New Roman" w:hAnsi="Times New Roman"/>
          <w:b/>
          <w:color w:val="000000"/>
          <w:sz w:val="32"/>
          <w:szCs w:val="32"/>
        </w:rPr>
        <w:t>中国土木工程学会标准</w:t>
      </w:r>
    </w:p>
    <w:p w14:paraId="081177E3">
      <w:pPr>
        <w:spacing w:before="300" w:line="375" w:lineRule="atLeast"/>
        <w:jc w:val="center"/>
        <w:rPr>
          <w:rFonts w:ascii="Times New Roman" w:hAnsi="Times New Roman" w:eastAsia="黑体"/>
          <w:b/>
          <w:bCs/>
          <w:color w:val="000000"/>
          <w:kern w:val="36"/>
          <w:sz w:val="32"/>
          <w:szCs w:val="32"/>
        </w:rPr>
      </w:pPr>
      <w:r>
        <w:rPr>
          <w:rFonts w:ascii="Times New Roman" w:hAnsi="Times New Roman" w:eastAsia="黑体"/>
          <w:b/>
          <w:bCs/>
          <w:color w:val="000000"/>
          <w:kern w:val="36"/>
          <w:sz w:val="32"/>
          <w:szCs w:val="32"/>
        </w:rPr>
        <w:t>建设工程招标投标履约管理标准</w:t>
      </w:r>
    </w:p>
    <w:p w14:paraId="21310659">
      <w:pPr>
        <w:spacing w:before="300" w:line="375" w:lineRule="atLeast"/>
        <w:jc w:val="center"/>
        <w:rPr>
          <w:rFonts w:ascii="Times New Roman" w:hAnsi="Times New Roman" w:eastAsia="黑体"/>
          <w:color w:val="000000"/>
          <w:kern w:val="0"/>
          <w:sz w:val="30"/>
          <w:szCs w:val="30"/>
        </w:rPr>
      </w:pPr>
      <w:r>
        <w:rPr>
          <w:rFonts w:ascii="Times New Roman" w:hAnsi="Times New Roman" w:eastAsia="黑体"/>
          <w:color w:val="000000"/>
          <w:kern w:val="0"/>
          <w:sz w:val="30"/>
          <w:szCs w:val="30"/>
        </w:rPr>
        <w:t>T/CCES X－20XX</w:t>
      </w:r>
    </w:p>
    <w:p w14:paraId="70CD57B9">
      <w:pPr>
        <w:spacing w:before="300" w:line="375" w:lineRule="atLeast"/>
        <w:jc w:val="center"/>
        <w:rPr>
          <w:rFonts w:ascii="Times New Roman" w:hAnsi="Times New Roman" w:eastAsia="黑体"/>
          <w:color w:val="000000"/>
          <w:kern w:val="0"/>
          <w:sz w:val="30"/>
          <w:szCs w:val="30"/>
        </w:rPr>
      </w:pPr>
    </w:p>
    <w:p w14:paraId="10AB5AC8">
      <w:pPr>
        <w:spacing w:before="300" w:line="375" w:lineRule="atLeast"/>
        <w:jc w:val="center"/>
        <w:rPr>
          <w:rFonts w:ascii="Times New Roman" w:hAnsi="Times New Roman"/>
          <w:color w:val="000000"/>
          <w:kern w:val="0"/>
          <w:sz w:val="30"/>
          <w:szCs w:val="30"/>
        </w:rPr>
      </w:pPr>
      <w:r>
        <w:rPr>
          <w:rFonts w:ascii="Times New Roman" w:hAnsi="Times New Roman"/>
          <w:color w:val="000000"/>
          <w:kern w:val="0"/>
          <w:sz w:val="30"/>
          <w:szCs w:val="30"/>
        </w:rPr>
        <w:t>条 文 说 明</w:t>
      </w:r>
    </w:p>
    <w:p w14:paraId="18C666D4">
      <w:pPr>
        <w:spacing w:before="300" w:line="375" w:lineRule="atLeast"/>
        <w:jc w:val="center"/>
        <w:rPr>
          <w:rFonts w:ascii="Times New Roman" w:hAnsi="Times New Roman"/>
          <w:color w:val="000000"/>
          <w:kern w:val="0"/>
          <w:sz w:val="30"/>
          <w:szCs w:val="30"/>
        </w:rPr>
      </w:pPr>
      <w:r>
        <w:rPr>
          <w:rFonts w:ascii="Times New Roman" w:hAnsi="Times New Roman"/>
          <w:color w:val="000000"/>
          <w:kern w:val="0"/>
          <w:sz w:val="30"/>
          <w:szCs w:val="30"/>
        </w:rPr>
        <w:br w:type="page"/>
      </w:r>
    </w:p>
    <w:p w14:paraId="0E638106">
      <w:pPr>
        <w:spacing w:before="300" w:line="375" w:lineRule="atLeast"/>
        <w:jc w:val="center"/>
        <w:outlineLvl w:val="0"/>
        <w:rPr>
          <w:rFonts w:ascii="Times New Roman" w:hAnsi="Times New Roman"/>
          <w:b/>
          <w:color w:val="000000"/>
          <w:sz w:val="32"/>
          <w:szCs w:val="32"/>
        </w:rPr>
      </w:pPr>
      <w:bookmarkStart w:id="924" w:name="_Toc1323866929"/>
      <w:bookmarkStart w:id="925" w:name="_Toc1007236568"/>
      <w:bookmarkStart w:id="926" w:name="_Toc1892131196"/>
      <w:bookmarkStart w:id="927" w:name="_Toc349038608"/>
      <w:bookmarkStart w:id="928" w:name="_Toc1423818627"/>
      <w:bookmarkStart w:id="929" w:name="_Toc479205412"/>
      <w:bookmarkStart w:id="930" w:name="_Toc135400149"/>
      <w:bookmarkStart w:id="931" w:name="_Toc1762804876"/>
      <w:r>
        <w:rPr>
          <w:rFonts w:ascii="Times New Roman" w:hAnsi="Times New Roman"/>
          <w:b/>
          <w:color w:val="000000"/>
          <w:sz w:val="32"/>
          <w:szCs w:val="32"/>
        </w:rPr>
        <w:t>制订说明</w:t>
      </w:r>
      <w:bookmarkEnd w:id="924"/>
      <w:bookmarkEnd w:id="925"/>
      <w:bookmarkEnd w:id="926"/>
      <w:bookmarkEnd w:id="927"/>
      <w:bookmarkEnd w:id="928"/>
      <w:bookmarkEnd w:id="929"/>
      <w:bookmarkEnd w:id="930"/>
      <w:bookmarkEnd w:id="931"/>
    </w:p>
    <w:p w14:paraId="1A598AE4">
      <w:pPr>
        <w:ind w:firstLine="420"/>
        <w:rPr>
          <w:rFonts w:ascii="Times New Roman" w:hAnsi="Times New Roman"/>
          <w:szCs w:val="20"/>
        </w:rPr>
      </w:pPr>
    </w:p>
    <w:p w14:paraId="7831F9C8">
      <w:pPr>
        <w:ind w:firstLine="420"/>
        <w:rPr>
          <w:rFonts w:ascii="Times New Roman" w:hAnsi="Times New Roman"/>
        </w:rPr>
      </w:pPr>
      <w:r>
        <w:rPr>
          <w:rFonts w:ascii="Times New Roman" w:hAnsi="Times New Roman"/>
        </w:rPr>
        <w:t>《建设工程招标投标履约管理标准》T/CCES XXX-20XX，经中国土木工程学会XXXX年XX月XX日以XX号函文批准发布。</w:t>
      </w:r>
    </w:p>
    <w:p w14:paraId="30486D43">
      <w:pPr>
        <w:ind w:firstLine="480" w:firstLineChars="200"/>
        <w:rPr>
          <w:rFonts w:ascii="Times New Roman" w:hAnsi="Times New Roman"/>
        </w:rPr>
      </w:pPr>
      <w:r>
        <w:rPr>
          <w:rFonts w:ascii="Times New Roman" w:hAnsi="Times New Roman"/>
        </w:rPr>
        <w:t>本标准制订过程中，编制组进行了广泛的调查研究，系统梳理了当前建设工程招标后履约环节存在的“中标不履约、履约不兑现、评价不联动”等突出问题，总结了国内外先进的招标投标履约管理经验，</w:t>
      </w:r>
      <w:r>
        <w:rPr>
          <w:rFonts w:hint="eastAsia" w:ascii="Times New Roman" w:hAnsi="Times New Roman"/>
        </w:rPr>
        <w:t>按照</w:t>
      </w:r>
      <w:r>
        <w:rPr>
          <w:rFonts w:ascii="Times New Roman" w:hAnsi="Times New Roman"/>
        </w:rPr>
        <w:t>《中华人民共和国民法典》</w:t>
      </w:r>
      <w:r>
        <w:rPr>
          <w:rFonts w:hint="eastAsia" w:ascii="Times New Roman" w:hAnsi="Times New Roman"/>
        </w:rPr>
        <w:t>、</w:t>
      </w:r>
      <w:r>
        <w:rPr>
          <w:rFonts w:ascii="Times New Roman" w:hAnsi="Times New Roman"/>
        </w:rPr>
        <w:t>《中华人民共和国招标投标法》</w:t>
      </w:r>
      <w:r>
        <w:rPr>
          <w:rFonts w:hint="eastAsia" w:ascii="Times New Roman" w:hAnsi="Times New Roman"/>
        </w:rPr>
        <w:t>、《</w:t>
      </w:r>
      <w:r>
        <w:rPr>
          <w:rFonts w:ascii="Times New Roman" w:hAnsi="Times New Roman"/>
        </w:rPr>
        <w:t>招标投标法实施条例</w:t>
      </w:r>
      <w:r>
        <w:rPr>
          <w:rFonts w:hint="eastAsia" w:ascii="Times New Roman" w:hAnsi="Times New Roman"/>
        </w:rPr>
        <w:t>》</w:t>
      </w:r>
      <w:r>
        <w:rPr>
          <w:rFonts w:ascii="Times New Roman" w:hAnsi="Times New Roman"/>
        </w:rPr>
        <w:t>、《国务院办公厅关于创新完善体制机制推动招标投标市场规范健康发展的意见》（国办发〔2024〕21号）</w:t>
      </w:r>
      <w:r>
        <w:rPr>
          <w:rFonts w:hint="eastAsia" w:ascii="Times New Roman" w:hAnsi="Times New Roman"/>
        </w:rPr>
        <w:t>、</w:t>
      </w:r>
      <w:r>
        <w:rPr>
          <w:rFonts w:ascii="Times New Roman" w:hAnsi="Times New Roman"/>
        </w:rPr>
        <w:t>国家发展改革委等部门</w:t>
      </w:r>
      <w:r>
        <w:rPr>
          <w:rFonts w:hint="eastAsia" w:ascii="Times New Roman" w:hAnsi="Times New Roman"/>
        </w:rPr>
        <w:t>《</w:t>
      </w:r>
      <w:r>
        <w:rPr>
          <w:rFonts w:ascii="Times New Roman" w:hAnsi="Times New Roman"/>
        </w:rPr>
        <w:t>关于印发</w:t>
      </w:r>
      <w:r>
        <w:rPr>
          <w:rFonts w:hint="eastAsia" w:ascii="Times New Roman" w:hAnsi="Times New Roman"/>
        </w:rPr>
        <w:t>&lt;</w:t>
      </w:r>
      <w:r>
        <w:rPr>
          <w:rFonts w:ascii="Times New Roman" w:hAnsi="Times New Roman"/>
        </w:rPr>
        <w:t>招标人主体责任履行指引</w:t>
      </w:r>
      <w:r>
        <w:rPr>
          <w:rFonts w:hint="eastAsia" w:ascii="Times New Roman" w:hAnsi="Times New Roman"/>
        </w:rPr>
        <w:t>&gt;</w:t>
      </w:r>
      <w:r>
        <w:rPr>
          <w:rFonts w:ascii="Times New Roman" w:hAnsi="Times New Roman"/>
        </w:rPr>
        <w:t>的通知</w:t>
      </w:r>
      <w:r>
        <w:rPr>
          <w:rFonts w:hint="eastAsia" w:ascii="Times New Roman" w:hAnsi="Times New Roman"/>
        </w:rPr>
        <w:t>》（</w:t>
      </w:r>
      <w:r>
        <w:rPr>
          <w:rFonts w:ascii="Times New Roman" w:hAnsi="Times New Roman"/>
        </w:rPr>
        <w:t>发改法规〔2025〕1358号文</w:t>
      </w:r>
      <w:r>
        <w:rPr>
          <w:rFonts w:hint="eastAsia" w:ascii="Times New Roman" w:hAnsi="Times New Roman"/>
        </w:rPr>
        <w:t>）</w:t>
      </w:r>
      <w:r>
        <w:rPr>
          <w:rFonts w:ascii="Times New Roman" w:hAnsi="Times New Roman"/>
        </w:rPr>
        <w:t>等</w:t>
      </w:r>
      <w:r>
        <w:rPr>
          <w:rFonts w:hint="eastAsia" w:ascii="Times New Roman" w:hAnsi="Times New Roman"/>
        </w:rPr>
        <w:t>相关</w:t>
      </w:r>
      <w:r>
        <w:rPr>
          <w:rFonts w:ascii="Times New Roman" w:hAnsi="Times New Roman"/>
        </w:rPr>
        <w:t>法律法规和政策文件</w:t>
      </w:r>
      <w:r>
        <w:rPr>
          <w:rFonts w:hint="eastAsia" w:ascii="Times New Roman" w:hAnsi="Times New Roman"/>
        </w:rPr>
        <w:t>规定</w:t>
      </w:r>
      <w:r>
        <w:rPr>
          <w:rFonts w:ascii="Times New Roman" w:hAnsi="Times New Roman"/>
        </w:rPr>
        <w:t>，</w:t>
      </w:r>
      <w:r>
        <w:rPr>
          <w:rFonts w:hint="eastAsia" w:ascii="Times New Roman" w:hAnsi="Times New Roman"/>
        </w:rPr>
        <w:t>参考了</w:t>
      </w:r>
      <w:r>
        <w:rPr>
          <w:rFonts w:ascii="Times New Roman" w:hAnsi="Times New Roman"/>
        </w:rPr>
        <w:t>《建设项目工程总承包管理规范》</w:t>
      </w:r>
      <w:r>
        <w:rPr>
          <w:rFonts w:hint="eastAsia" w:ascii="Times New Roman" w:hAnsi="Times New Roman"/>
        </w:rPr>
        <w:t>（</w:t>
      </w:r>
      <w:r>
        <w:rPr>
          <w:rFonts w:ascii="Times New Roman" w:hAnsi="Times New Roman"/>
        </w:rPr>
        <w:t>GB/T 50358</w:t>
      </w:r>
      <w:r>
        <w:rPr>
          <w:rFonts w:hint="eastAsia" w:ascii="Times New Roman" w:hAnsi="Times New Roman"/>
        </w:rPr>
        <w:t>）</w:t>
      </w:r>
      <w:r>
        <w:rPr>
          <w:rFonts w:ascii="Times New Roman" w:hAnsi="Times New Roman"/>
        </w:rPr>
        <w:t>等标准，并广泛征求了建设单位、施工单位、监理单位、招标代理机构及有关专家的意见，对主要问题进行了反复讨论、协调和修改，形成本标准。</w:t>
      </w:r>
    </w:p>
    <w:p w14:paraId="659463B4">
      <w:pPr>
        <w:ind w:firstLine="480" w:firstLineChars="200"/>
        <w:rPr>
          <w:rFonts w:ascii="Times New Roman" w:hAnsi="Times New Roman"/>
        </w:rPr>
      </w:pPr>
      <w:r>
        <w:rPr>
          <w:rFonts w:ascii="Times New Roman" w:hAnsi="Times New Roman"/>
        </w:rPr>
        <w:t>为便于广大工程建设各方主体，特别是承担主体责任的发包人，在使用本标准时能正确理解和执行条文规定，编制组按章、节、条顺序编制了本标准的条文说明，对条文规定的目的、依据以及执行中需注意的有关事项进行了说明。需要注意的是，本条文说明不具备与标准正文同等的法律效力，仅供使用者作为理解和把握标准规定的参考。</w:t>
      </w:r>
    </w:p>
    <w:p w14:paraId="08C1CB5B">
      <w:pPr>
        <w:tabs>
          <w:tab w:val="left" w:pos="1350"/>
          <w:tab w:val="center" w:pos="4536"/>
        </w:tabs>
        <w:spacing w:before="300" w:line="375" w:lineRule="atLeast"/>
        <w:jc w:val="center"/>
        <w:outlineLvl w:val="0"/>
        <w:rPr>
          <w:rFonts w:ascii="Times New Roman" w:hAnsi="Times New Roman"/>
          <w:b/>
          <w:color w:val="000000"/>
          <w:kern w:val="0"/>
          <w:sz w:val="32"/>
          <w:szCs w:val="32"/>
        </w:rPr>
      </w:pPr>
      <w:r>
        <w:rPr>
          <w:rFonts w:ascii="Times New Roman" w:hAnsi="Times New Roman"/>
        </w:rPr>
        <w:br w:type="page"/>
      </w:r>
      <w:bookmarkStart w:id="932" w:name="_Toc1357496780"/>
      <w:bookmarkStart w:id="933" w:name="_Toc1775024463"/>
      <w:bookmarkStart w:id="934" w:name="_Toc479314315"/>
      <w:bookmarkStart w:id="935" w:name="_Toc1521913635"/>
      <w:bookmarkStart w:id="936" w:name="_Toc281220289"/>
      <w:bookmarkStart w:id="937" w:name="_Toc1369549844"/>
      <w:bookmarkStart w:id="938" w:name="_Toc650570836"/>
      <w:bookmarkStart w:id="939" w:name="_Toc2040222643"/>
      <w:bookmarkStart w:id="940" w:name="_Toc1803224101"/>
      <w:bookmarkStart w:id="941" w:name="_Hlk232607626"/>
      <w:r>
        <w:rPr>
          <w:rFonts w:ascii="Times New Roman" w:hAnsi="Times New Roman"/>
          <w:b/>
          <w:color w:val="000000"/>
          <w:kern w:val="0"/>
          <w:sz w:val="32"/>
          <w:szCs w:val="32"/>
        </w:rPr>
        <w:t>目  次</w:t>
      </w:r>
      <w:bookmarkEnd w:id="932"/>
      <w:bookmarkEnd w:id="933"/>
      <w:bookmarkEnd w:id="934"/>
      <w:bookmarkEnd w:id="935"/>
      <w:bookmarkEnd w:id="936"/>
      <w:bookmarkEnd w:id="937"/>
      <w:bookmarkEnd w:id="938"/>
      <w:bookmarkEnd w:id="939"/>
      <w:bookmarkEnd w:id="940"/>
    </w:p>
    <w:p w14:paraId="37020D1B">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rPr>
        <w:fldChar w:fldCharType="begin"/>
      </w:r>
      <w:r>
        <w:rPr>
          <w:rFonts w:hint="default" w:ascii="Times New Roman" w:hAnsi="Times New Roman" w:cs="Times New Roman"/>
        </w:rPr>
        <w:instrText xml:space="preserve">TOC \t "标题 3,1,标题 4,2" \h \u </w:instrText>
      </w:r>
      <w:r>
        <w:rPr>
          <w:rFonts w:hint="default" w:ascii="Times New Roman" w:hAnsi="Times New Roman" w:cs="Times New Roman"/>
        </w:rPr>
        <w:fldChar w:fldCharType="separate"/>
      </w: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_Toc1870067825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2  术语与参考标准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_Toc1870067825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66C72D3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_Toc673788443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2.1  术语</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_Toc673788443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C91A863">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_Toc1383481119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3  基本规定</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_Toc1383481119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46155E49">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_Toc618510232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3.1  基本原则</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_Toc618510232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670080A">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_Toc199756953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3.2  管理目标</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_Toc199756953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23C7E26">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_Toc1435673634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3.4  各方职责</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_Toc1435673634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35F40BB">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_Toc290665039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3.5  管理程序</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_Toc290665039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425394A0">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_Toc794590567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4  合同订立与履约准备管理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_Toc794590567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43CD80F9">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_Toc32802441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4.2  合同订立</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_Toc32802441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D3FE585">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_Toc1033390469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4.4 合同交底</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_Toc1033390469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69</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62C0B52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_Toc1436904398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4.8  前期准备</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_Toc1436904398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70</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D969AB2">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_Toc409486573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5  风险管理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_Toc409486573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71</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3B5B24C">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_Toc1530680519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5.1  一般规定</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_Toc1530680519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71</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6567FC60">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_Toc2079742273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5.2  风险识别</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_Toc2079742273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71</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1F0DDB0">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_Toc880494683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5.3  风险防范</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_Toc880494683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72</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10AD234">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_Toc1991050032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6  资源管理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_Toc1991050032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73</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C9B863D">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_Toc225499328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6.1  一般规定</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_Toc225499328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73</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3904490">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_Toc1380876137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6.2  人力资源管理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_Toc1380876137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73</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4D88215">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_Toc1807380271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6.6  劳务管理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_Toc1807380271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74</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AC2DB13">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_Toc1021280118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7  进度管理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_Toc1021280118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74</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6F65254">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_Toc1575201819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7.2  进度计划的编制与确认</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_Toc1575201819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74</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E5CAC0E">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_Toc311686860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7.4  进度偏差的识别与处置</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_Toc311686860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75</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E2A59F5">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_Toc1385415571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7.5  进度计划调整</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_Toc1385415571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75</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A417FBF">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_Toc841094420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8  质量管理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_Toc841094420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4A6BBBF0">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_Toc1021484888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8.3  质量目标与标准确定</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_Toc1021484888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02E7DD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_Toc81204478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8.4  过程质量检查</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_Toc81204478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D6C71E2">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_Toc109246174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8.5  质量问题与偏差处置</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_Toc109246174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3188D1A">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_Toc1156847664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8.7  成果交付前的质量检查</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_Toc1156847664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4A34166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_Toc1246821267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8.7  成果交付前的质量检查</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_Toc1246821267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FE8CFA8">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_Toc458284783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9  安全与环境管理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_Toc458284783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34913371">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_Toc366860797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9.2  安全生产责任体系建立</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_Toc366860797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B2B76C2">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_Toc969405444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9.4  安全隐患识别与整改闭环</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_Toc969405444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DF1EAF4">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_Toc1132073226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9.6  环境管理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_Toc1132073226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6D65E7C0">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_Toc1750341916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10  费用与支付管理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_Toc1750341916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3A6DE4C">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_Toc1587915676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10.1  一般规定</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_Toc1587915676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B3EF66C">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_Toc1331830179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10.3  支付审核</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_Toc1331830179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1271A62">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_Toc1038531902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10.4  合同变更管理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_Toc1038531902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4A277C6">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_Toc1878580715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10.7  结算管理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_Toc1878580715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79</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0A4144B">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_Toc2126420747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10.8  违约金与保证金管理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_Toc2126420747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80</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634BEA2D">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_Toc1071334343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11  履约验收管理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_Toc1071334343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80</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BC58B3B">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_Toc764487536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11.1  一般规定</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_Toc764487536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80</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95243BB">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_Toc1415841497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11.2  验收依据与标准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_Toc1415841497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80</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402D43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_Toc1480820916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11.3  验收方式</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_Toc1480820916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81</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3FD1A0D">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_Toc147684408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11.4  履约过程记录的归集与审查</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_Toc147684408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81</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4A24B07">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_Toc1348100123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11.5  验收程序</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_Toc1348100123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81</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97921B8">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_Toc213831951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11.6  履约验收报告</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_Toc213831951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82</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DFFCE6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_Toc2138734440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11.7  履约验收与结算联动</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_Toc2138734440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83</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186FF60">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_Toc1573599451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12  质量保证期管理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_Toc1573599451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83</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314B00A">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_Toc1594708088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12.1  一般规定</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_Toc1594708088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83</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29AF710">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_Toc1798631063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12.3  质量缺陷的处理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_Toc1798631063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83</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97D922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_Toc447395921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12.4  质量保证金管理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_Toc447395921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83</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2483917">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_Toc1022426260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13  履约评价与信用管理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_Toc1022426260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84</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2765BC7">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_Toc2110317923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13.2  评价指标体系</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_Toc2110317923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84</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E0825C8">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_Toc1832811492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13.4  评价方法与程序</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_Toc1832811492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85</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6825B81">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_Toc1863520680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13.6  信用联动与信息共享</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_Toc1863520680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85</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62432B4">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_Toc984319163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14  争议管理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_Toc984319163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5F58A31">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_Toc1914015970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14.2  争议的识别与登记</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_Toc1914015970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60425EBA">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_Toc1972766855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14.3  争议的协商与处理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_Toc1972766855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52C3CE0">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_Toc2141166828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14.4  争议期间的合同履行</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_Toc2141166828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86</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74B2D60">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_Toc1013353589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15  主管部门监督管理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_Toc1013353589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42AB9C0C">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_Toc283567990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15.1  一般原则</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_Toc283567990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6F1CAA2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_Toc360543977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15.3  问题发现与处理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_Toc360543977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214EEAF">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_Toc1982759033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15.4  信用管理与信息报送</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_Toc1982759033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69C98D6C">
      <w:pPr>
        <w:pStyle w:val="1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_Toc1415641216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16  履约管理数智化</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_Toc1415641216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D555CE3">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_Toc2110885893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16.1  一般规定</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_Toc2110885893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10FB716D">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_Toc1423191061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16.2  数智化管理平台</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_Toc1423191061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87</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5731D9B3">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_Toc599987747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16.3  数据采集与管理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_Toc599987747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0C18D46C">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_Toc1001934147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16.4  智能化应用</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_Toc1001934147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88</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739F0FD4">
      <w:pPr>
        <w:pStyle w:val="19"/>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rPr>
      </w:pPr>
      <w:r>
        <w:rPr>
          <w:rFonts w:hint="default" w:ascii="Times New Roman" w:hAnsi="Times New Roman" w:cs="Times New Roman"/>
          <w:bCs/>
          <w:sz w:val="21"/>
          <w:szCs w:val="21"/>
        </w:rPr>
        <w:fldChar w:fldCharType="begin"/>
      </w:r>
      <w:r>
        <w:rPr>
          <w:rFonts w:hint="default" w:ascii="Times New Roman" w:hAnsi="Times New Roman" w:cs="Times New Roman"/>
          <w:bCs/>
          <w:sz w:val="21"/>
          <w:szCs w:val="21"/>
        </w:rPr>
        <w:instrText xml:space="preserve"> HYPERLINK \l _Toc1154288128 </w:instrText>
      </w:r>
      <w:r>
        <w:rPr>
          <w:rFonts w:hint="default" w:ascii="Times New Roman" w:hAnsi="Times New Roman" w:cs="Times New Roman"/>
          <w:bCs/>
          <w:sz w:val="21"/>
          <w:szCs w:val="21"/>
        </w:rPr>
        <w:fldChar w:fldCharType="separate"/>
      </w:r>
      <w:r>
        <w:rPr>
          <w:rFonts w:hint="default" w:ascii="Times New Roman" w:hAnsi="Times New Roman" w:cs="Times New Roman"/>
          <w:sz w:val="21"/>
          <w:szCs w:val="21"/>
        </w:rPr>
        <w:t>16.5  数据安全与合规</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_Toc1154288128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89</w:t>
      </w:r>
      <w:r>
        <w:rPr>
          <w:rFonts w:hint="default" w:ascii="Times New Roman" w:hAnsi="Times New Roman" w:cs="Times New Roman"/>
          <w:sz w:val="21"/>
          <w:szCs w:val="21"/>
        </w:rPr>
        <w:fldChar w:fldCharType="end"/>
      </w:r>
      <w:r>
        <w:rPr>
          <w:rFonts w:hint="default" w:ascii="Times New Roman" w:hAnsi="Times New Roman" w:cs="Times New Roman"/>
          <w:bCs/>
          <w:sz w:val="21"/>
          <w:szCs w:val="21"/>
        </w:rPr>
        <w:fldChar w:fldCharType="end"/>
      </w:r>
    </w:p>
    <w:p w14:paraId="2AC6CBB1">
      <w:pPr>
        <w:tabs>
          <w:tab w:val="left" w:leader="dot" w:pos="6300"/>
          <w:tab w:val="left" w:pos="7980"/>
          <w:tab w:val="left" w:leader="dot" w:pos="8400"/>
        </w:tabs>
        <w:spacing w:line="240" w:lineRule="auto"/>
        <w:ind w:firstLine="414"/>
        <w:jc w:val="right"/>
        <w:rPr>
          <w:rFonts w:ascii="Times New Roman" w:hAnsi="Times New Roman"/>
          <w:bCs/>
          <w:kern w:val="44"/>
          <w:sz w:val="21"/>
          <w:szCs w:val="21"/>
        </w:rPr>
      </w:pPr>
      <w:r>
        <w:rPr>
          <w:rFonts w:hint="default" w:ascii="Times New Roman" w:hAnsi="Times New Roman" w:cs="Times New Roman"/>
          <w:bCs/>
          <w:szCs w:val="21"/>
        </w:rPr>
        <w:fldChar w:fldCharType="end"/>
      </w:r>
    </w:p>
    <w:p w14:paraId="2781139A">
      <w:pPr>
        <w:ind w:firstLine="412"/>
        <w:rPr>
          <w:rFonts w:ascii="Times New Roman" w:hAnsi="Times New Roman"/>
          <w:bCs/>
          <w:kern w:val="44"/>
        </w:rPr>
      </w:pPr>
    </w:p>
    <w:p w14:paraId="1DD9CDAB">
      <w:pPr>
        <w:pStyle w:val="4"/>
        <w:rPr>
          <w:bCs/>
          <w:kern w:val="44"/>
        </w:rPr>
      </w:pPr>
      <w:r>
        <w:rPr>
          <w:bCs/>
          <w:kern w:val="44"/>
        </w:rPr>
        <w:br w:type="page"/>
      </w:r>
    </w:p>
    <w:bookmarkEnd w:id="941"/>
    <w:p w14:paraId="70FE0242">
      <w:pPr>
        <w:pStyle w:val="4"/>
        <w:rPr>
          <w:color w:val="000000" w:themeColor="text1"/>
          <w14:textFill>
            <w14:solidFill>
              <w14:schemeClr w14:val="tx1"/>
            </w14:solidFill>
          </w14:textFill>
        </w:rPr>
      </w:pPr>
      <w:bookmarkStart w:id="942" w:name="_Toc1870067825"/>
      <w:bookmarkStart w:id="943" w:name="_Toc438495619"/>
      <w:bookmarkStart w:id="944" w:name="_Toc653809406"/>
      <w:bookmarkStart w:id="945" w:name="_Toc1743997080"/>
      <w:bookmarkStart w:id="946" w:name="_Hlk232607601"/>
      <w:r>
        <w:rPr>
          <w:color w:val="000000" w:themeColor="text1"/>
          <w14:textFill>
            <w14:solidFill>
              <w14:schemeClr w14:val="tx1"/>
            </w14:solidFill>
          </w14:textFill>
        </w:rPr>
        <w:t>2  术语与参考标准</w:t>
      </w:r>
      <w:bookmarkEnd w:id="942"/>
    </w:p>
    <w:p w14:paraId="5BA996C2">
      <w:pPr>
        <w:pStyle w:val="5"/>
        <w:rPr>
          <w:color w:val="000000" w:themeColor="text1"/>
          <w14:textFill>
            <w14:solidFill>
              <w14:schemeClr w14:val="tx1"/>
            </w14:solidFill>
          </w14:textFill>
        </w:rPr>
      </w:pPr>
      <w:bookmarkStart w:id="947" w:name="_Toc673788443"/>
      <w:r>
        <w:rPr>
          <w:color w:val="000000" w:themeColor="text1"/>
          <w14:textFill>
            <w14:solidFill>
              <w14:schemeClr w14:val="tx1"/>
            </w14:solidFill>
          </w14:textFill>
        </w:rPr>
        <w:t>2.1  术语</w:t>
      </w:r>
      <w:bookmarkEnd w:id="947"/>
    </w:p>
    <w:p w14:paraId="14098930">
      <w:pPr>
        <w:pStyle w:val="39"/>
        <w:rPr>
          <w:color w:val="000000" w:themeColor="text1"/>
          <w14:textFill>
            <w14:solidFill>
              <w14:schemeClr w14:val="tx1"/>
            </w14:solidFill>
          </w14:textFill>
        </w:rPr>
      </w:pPr>
      <w:bookmarkStart w:id="948" w:name="_Hlk234664662"/>
      <w:r>
        <w:rPr>
          <w:b/>
          <w:color w:val="000000" w:themeColor="text1"/>
          <w14:textFill>
            <w14:solidFill>
              <w14:schemeClr w14:val="tx1"/>
            </w14:solidFill>
          </w14:textFill>
        </w:rPr>
        <w:t>2.1.</w:t>
      </w:r>
      <w:r>
        <w:rPr>
          <w:rFonts w:hint="eastAsia"/>
          <w:b/>
          <w:color w:val="000000" w:themeColor="text1"/>
          <w14:textFill>
            <w14:solidFill>
              <w14:schemeClr w14:val="tx1"/>
            </w14:solidFill>
          </w14:textFill>
        </w:rPr>
        <w:t>8</w:t>
      </w:r>
      <w:r>
        <w:rPr>
          <w:b/>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bookmarkEnd w:id="948"/>
      <w:r>
        <w:rPr>
          <w:color w:val="000000" w:themeColor="text1"/>
          <w14:textFill>
            <w14:solidFill>
              <w14:schemeClr w14:val="tx1"/>
            </w14:solidFill>
          </w14:textFill>
        </w:rPr>
        <w:t>本条</w:t>
      </w:r>
      <w:r>
        <w:rPr>
          <w:rFonts w:hint="eastAsia"/>
          <w:color w:val="000000" w:themeColor="text1"/>
          <w14:textFill>
            <w14:solidFill>
              <w14:schemeClr w14:val="tx1"/>
            </w14:solidFill>
          </w14:textFill>
        </w:rPr>
        <w:t>将</w:t>
      </w:r>
      <w:r>
        <w:rPr>
          <w:color w:val="000000" w:themeColor="text1"/>
          <w14:textFill>
            <w14:solidFill>
              <w14:schemeClr w14:val="tx1"/>
            </w14:solidFill>
          </w14:textFill>
        </w:rPr>
        <w:t>“经审查的承包人建议书”作为术语定义，基于</w:t>
      </w:r>
      <w:r>
        <w:rPr>
          <w:rFonts w:hint="eastAsia"/>
          <w:color w:val="000000" w:themeColor="text1"/>
          <w:u w:val="none"/>
          <w14:textFill>
            <w14:solidFill>
              <w14:schemeClr w14:val="tx1"/>
            </w14:solidFill>
          </w14:textFill>
        </w:rPr>
        <w:t>综</w:t>
      </w:r>
      <w:r>
        <w:rPr>
          <w:color w:val="000000" w:themeColor="text1"/>
          <w14:textFill>
            <w14:solidFill>
              <w14:schemeClr w14:val="tx1"/>
            </w14:solidFill>
          </w14:textFill>
        </w:rPr>
        <w:t>合《中华人民共和国标准设计施工总承包招标文件》（2012年版）、《建设项目工程总承包合同示范文本</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GF-2020-0216</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》对“承包人建议书”术语的定义</w:t>
      </w:r>
      <w:r>
        <w:rPr>
          <w:rFonts w:hint="eastAsia"/>
          <w:color w:val="000000" w:themeColor="text1"/>
          <w14:textFill>
            <w14:solidFill>
              <w14:schemeClr w14:val="tx1"/>
            </w14:solidFill>
          </w14:textFill>
        </w:rPr>
        <w:t>规定</w:t>
      </w:r>
      <w:r>
        <w:rPr>
          <w:color w:val="000000" w:themeColor="text1"/>
          <w14:textFill>
            <w14:solidFill>
              <w14:schemeClr w14:val="tx1"/>
            </w14:solidFill>
          </w14:textFill>
        </w:rPr>
        <w:t>、考虑</w:t>
      </w:r>
      <w:r>
        <w:rPr>
          <w:rFonts w:hint="eastAsia"/>
          <w:color w:val="000000" w:themeColor="text1"/>
          <w14:textFill>
            <w14:solidFill>
              <w14:schemeClr w14:val="tx1"/>
            </w14:solidFill>
          </w14:textFill>
        </w:rPr>
        <w:t>招标</w:t>
      </w:r>
      <w:r>
        <w:rPr>
          <w:color w:val="000000" w:themeColor="text1"/>
          <w14:textFill>
            <w14:solidFill>
              <w14:schemeClr w14:val="tx1"/>
            </w14:solidFill>
          </w14:textFill>
        </w:rPr>
        <w:t>投标阶段的文件深度不足、完整性不够、且仅是投标的胜出者但非发包人完全认可的情形，但在合同履行阶段尤其是“变更”行为起到关键性作用等现实因素，提出一个经发包人审查后</w:t>
      </w:r>
      <w:r>
        <w:rPr>
          <w:rFonts w:hint="eastAsia"/>
          <w:color w:val="000000" w:themeColor="text1"/>
          <w14:textFill>
            <w14:solidFill>
              <w14:schemeClr w14:val="tx1"/>
            </w14:solidFill>
          </w14:textFill>
        </w:rPr>
        <w:t>确</w:t>
      </w:r>
      <w:r>
        <w:rPr>
          <w:color w:val="000000" w:themeColor="text1"/>
          <w14:textFill>
            <w14:solidFill>
              <w14:schemeClr w14:val="tx1"/>
            </w14:solidFill>
          </w14:textFill>
        </w:rPr>
        <w:t>定的概念。根据《中华人民共和国标准设计施工总承包招标文件》（2012年版）的术语定义：“承包人建议书：指构成合同文件组成部分的名为承包人建议书的文件。承包人建议书由承包人随投标函一起提交。承包人建议书应包括承包人的设计图纸及相应说明等设计文件。”《建设项目工程总承包合同GF-2020-0216</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》也有</w:t>
      </w:r>
      <w:r>
        <w:rPr>
          <w:rFonts w:hint="eastAsia"/>
          <w:color w:val="000000" w:themeColor="text1"/>
          <w14:textFill>
            <w14:solidFill>
              <w14:schemeClr w14:val="tx1"/>
            </w14:solidFill>
          </w14:textFill>
        </w:rPr>
        <w:t>对</w:t>
      </w:r>
      <w:r>
        <w:rPr>
          <w:color w:val="000000" w:themeColor="text1"/>
          <w14:textFill>
            <w14:solidFill>
              <w14:schemeClr w14:val="tx1"/>
            </w14:solidFill>
          </w14:textFill>
        </w:rPr>
        <w:t>承包人建议书</w:t>
      </w:r>
      <w:r>
        <w:rPr>
          <w:rFonts w:hint="eastAsia"/>
          <w:color w:val="000000" w:themeColor="text1"/>
          <w14:textFill>
            <w14:solidFill>
              <w14:schemeClr w14:val="tx1"/>
            </w14:solidFill>
          </w14:textFill>
        </w:rPr>
        <w:t>一致</w:t>
      </w:r>
      <w:r>
        <w:rPr>
          <w:color w:val="000000" w:themeColor="text1"/>
          <w14:textFill>
            <w14:solidFill>
              <w14:schemeClr w14:val="tx1"/>
            </w14:solidFill>
          </w14:textFill>
        </w:rPr>
        <w:t>定义，而经审查的承包人建议书，在此基础上加入了适应工程总承包项目特点的设计方案、采购方案、施工方案、试运行与性能考核方案以及项目管理组织与资源配置方案等文件，以形成构成合同约束力的文件总成，作为合同实施的基准文件以及后</w:t>
      </w:r>
      <w:r>
        <w:rPr>
          <w:rFonts w:hint="eastAsia"/>
          <w:color w:val="000000" w:themeColor="text1"/>
          <w14:textFill>
            <w14:solidFill>
              <w14:schemeClr w14:val="tx1"/>
            </w14:solidFill>
          </w14:textFill>
        </w:rPr>
        <w:t>续</w:t>
      </w:r>
      <w:r>
        <w:rPr>
          <w:color w:val="000000" w:themeColor="text1"/>
          <w14:textFill>
            <w14:solidFill>
              <w14:schemeClr w14:val="tx1"/>
            </w14:solidFill>
          </w14:textFill>
        </w:rPr>
        <w:t>变更事项的处理依据。</w:t>
      </w:r>
    </w:p>
    <w:p w14:paraId="4CE0C1D1">
      <w:pPr>
        <w:pStyle w:val="4"/>
        <w:rPr>
          <w:color w:val="000000" w:themeColor="text1"/>
          <w14:textFill>
            <w14:solidFill>
              <w14:schemeClr w14:val="tx1"/>
            </w14:solidFill>
          </w14:textFill>
        </w:rPr>
      </w:pPr>
      <w:bookmarkStart w:id="949" w:name="_Toc1383481119"/>
      <w:r>
        <w:rPr>
          <w:color w:val="000000" w:themeColor="text1"/>
          <w14:textFill>
            <w14:solidFill>
              <w14:schemeClr w14:val="tx1"/>
            </w14:solidFill>
          </w14:textFill>
        </w:rPr>
        <w:t>3  基本规定</w:t>
      </w:r>
      <w:bookmarkEnd w:id="943"/>
      <w:bookmarkEnd w:id="944"/>
      <w:bookmarkEnd w:id="945"/>
      <w:bookmarkEnd w:id="949"/>
    </w:p>
    <w:p w14:paraId="65783E6C">
      <w:pPr>
        <w:pStyle w:val="5"/>
        <w:rPr>
          <w:color w:val="000000" w:themeColor="text1"/>
          <w14:textFill>
            <w14:solidFill>
              <w14:schemeClr w14:val="tx1"/>
            </w14:solidFill>
          </w14:textFill>
        </w:rPr>
      </w:pPr>
      <w:bookmarkStart w:id="950" w:name="_Toc1563611848"/>
      <w:bookmarkStart w:id="951" w:name="_Toc13911323"/>
      <w:bookmarkStart w:id="952" w:name="_Toc1701840881"/>
      <w:bookmarkStart w:id="953" w:name="_Toc618510232"/>
      <w:r>
        <w:rPr>
          <w:color w:val="000000" w:themeColor="text1"/>
          <w14:textFill>
            <w14:solidFill>
              <w14:schemeClr w14:val="tx1"/>
            </w14:solidFill>
          </w14:textFill>
        </w:rPr>
        <w:t>3.1  基本原则</w:t>
      </w:r>
      <w:bookmarkEnd w:id="950"/>
      <w:bookmarkEnd w:id="951"/>
      <w:bookmarkEnd w:id="952"/>
      <w:bookmarkEnd w:id="953"/>
    </w:p>
    <w:p w14:paraId="50FFAAB9">
      <w:pPr>
        <w:pStyle w:val="39"/>
        <w:rPr>
          <w:color w:val="000000" w:themeColor="text1"/>
          <w14:textFill>
            <w14:solidFill>
              <w14:schemeClr w14:val="tx1"/>
            </w14:solidFill>
          </w14:textFill>
        </w:rPr>
      </w:pPr>
      <w:r>
        <w:rPr>
          <w:b/>
          <w:color w:val="000000" w:themeColor="text1"/>
          <w14:textFill>
            <w14:solidFill>
              <w14:schemeClr w14:val="tx1"/>
            </w14:solidFill>
          </w14:textFill>
        </w:rPr>
        <w:t>3.1.1</w:t>
      </w:r>
      <w:r>
        <w:rPr>
          <w:color w:val="000000" w:themeColor="text1"/>
          <w14:textFill>
            <w14:solidFill>
              <w14:schemeClr w14:val="tx1"/>
            </w14:solidFill>
          </w14:textFill>
        </w:rPr>
        <w:t xml:space="preserve">  本条确立了履约管理的基本原则：“依法合规”是底线，“全面履行”是目标，“过程控制”是方法，“闭环管理”是机制。其中“闭环管理”是指“计划—执行—检查—整改—验收—评价—信用联动”的全链条管控，旨在形成可追溯、可问责的管理闭环，避免问题遗漏。</w:t>
      </w:r>
    </w:p>
    <w:p w14:paraId="7B454DDA">
      <w:pPr>
        <w:pStyle w:val="39"/>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上述原则从政策层面与《国务院办公厅关于创新完善体制机制推动招标投标市场规范健康发展的意见》（国办发〔2024〕21号）紧密衔接。该文件明确要求“落实招标人组织招标、处理异议、督促履约等方面责任”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“加大招标公告、中标合同、履约信息公开力度”</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。编制组将四项原则作为本标准的</w:t>
      </w:r>
      <w:r>
        <w:rPr>
          <w:rFonts w:hint="eastAsia"/>
          <w:color w:val="000000" w:themeColor="text1"/>
          <w14:textFill>
            <w14:solidFill>
              <w14:schemeClr w14:val="tx1"/>
            </w14:solidFill>
          </w14:textFill>
        </w:rPr>
        <w:t>根本要求</w:t>
      </w:r>
      <w:r>
        <w:rPr>
          <w:color w:val="000000" w:themeColor="text1"/>
          <w14:textFill>
            <w14:solidFill>
              <w14:schemeClr w14:val="tx1"/>
            </w14:solidFill>
          </w14:textFill>
        </w:rPr>
        <w:t>，正是对国务院文件中“督促履约”责任的制度性落实，其中“闭环管理”机制直接回应了文件提出的“将国有企业组织招标和参与投标纳入经营投资责任追究制度从严管理”的要求，为责任追究提供了</w:t>
      </w:r>
      <w:r>
        <w:rPr>
          <w:rFonts w:hint="eastAsia"/>
          <w:color w:val="000000" w:themeColor="text1"/>
          <w14:textFill>
            <w14:solidFill>
              <w14:schemeClr w14:val="tx1"/>
            </w14:solidFill>
          </w14:textFill>
        </w:rPr>
        <w:t>具体依据</w:t>
      </w:r>
      <w:r>
        <w:rPr>
          <w:color w:val="000000" w:themeColor="text1"/>
          <w14:textFill>
            <w14:solidFill>
              <w14:schemeClr w14:val="tx1"/>
            </w14:solidFill>
          </w14:textFill>
        </w:rPr>
        <w:t>。</w:t>
      </w:r>
    </w:p>
    <w:p w14:paraId="2CC88B73">
      <w:pPr>
        <w:pStyle w:val="5"/>
        <w:rPr>
          <w:color w:val="000000" w:themeColor="text1"/>
          <w14:textFill>
            <w14:solidFill>
              <w14:schemeClr w14:val="tx1"/>
            </w14:solidFill>
          </w14:textFill>
        </w:rPr>
      </w:pPr>
      <w:bookmarkStart w:id="954" w:name="_Toc1273212725"/>
      <w:bookmarkStart w:id="955" w:name="_Toc2112006851"/>
      <w:bookmarkStart w:id="956" w:name="_Toc199756953"/>
      <w:bookmarkStart w:id="957" w:name="_Toc1009980172"/>
      <w:r>
        <w:rPr>
          <w:color w:val="000000" w:themeColor="text1"/>
          <w14:textFill>
            <w14:solidFill>
              <w14:schemeClr w14:val="tx1"/>
            </w14:solidFill>
          </w14:textFill>
        </w:rPr>
        <w:t>3.2  管理目标</w:t>
      </w:r>
      <w:bookmarkEnd w:id="954"/>
      <w:bookmarkEnd w:id="955"/>
      <w:bookmarkEnd w:id="956"/>
      <w:bookmarkEnd w:id="957"/>
    </w:p>
    <w:p w14:paraId="249A79F2">
      <w:pPr>
        <w:pStyle w:val="39"/>
        <w:rPr>
          <w:color w:val="000000" w:themeColor="text1"/>
          <w14:textFill>
            <w14:solidFill>
              <w14:schemeClr w14:val="tx1"/>
            </w14:solidFill>
          </w14:textFill>
        </w:rPr>
      </w:pPr>
      <w:r>
        <w:rPr>
          <w:b/>
          <w:color w:val="000000" w:themeColor="text1"/>
          <w14:textFill>
            <w14:solidFill>
              <w14:schemeClr w14:val="tx1"/>
            </w14:solidFill>
          </w14:textFill>
        </w:rPr>
        <w:t>3.2.2</w:t>
      </w:r>
      <w:r>
        <w:rPr>
          <w:color w:val="000000" w:themeColor="text1"/>
          <w14:textFill>
            <w14:solidFill>
              <w14:schemeClr w14:val="tx1"/>
            </w14:solidFill>
          </w14:textFill>
        </w:rPr>
        <w:t xml:space="preserve">  本条将履约管理目标具体化，其中第2款“投标承诺的主要人员、技术资源、设备设施等关键要素按时足额投入并持续满足要求”，是对“投标承诺即合同义务”的再次确认，也是防止挂靠转包的根本手段。</w:t>
      </w:r>
    </w:p>
    <w:p w14:paraId="5544F11C">
      <w:pPr>
        <w:pStyle w:val="39"/>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上述目标设定直接落实了《国务院办公厅关于创新完善体制机制推动招标投标市场规范健康发展的意见》（国办发〔2024〕21号）中“督促履约”责任的要求。该文件明确将“落实招标人组织招标、处理异议、督促履约等方面责任”作为强化招标人主体地位的核心举措，第2款正是“督促履约”责任在</w:t>
      </w:r>
      <w:r>
        <w:rPr>
          <w:rFonts w:hint="eastAsia"/>
          <w:color w:val="000000" w:themeColor="text1"/>
          <w14:textFill>
            <w14:solidFill>
              <w14:schemeClr w14:val="tx1"/>
            </w14:solidFill>
          </w14:textFill>
        </w:rPr>
        <w:t>落实</w:t>
      </w:r>
      <w:r>
        <w:rPr>
          <w:color w:val="000000" w:themeColor="text1"/>
          <w14:textFill>
            <w14:solidFill>
              <w14:schemeClr w14:val="tx1"/>
            </w14:solidFill>
          </w14:textFill>
        </w:rPr>
        <w:t>层面的具体体现。编制组将该目标写入标准，旨在将国务院文件的原则性要求转化为可检查、可考核的管理指标，使“督促履约”落</w:t>
      </w:r>
      <w:r>
        <w:rPr>
          <w:rFonts w:hint="eastAsia"/>
          <w:color w:val="000000" w:themeColor="text1"/>
          <w14:textFill>
            <w14:solidFill>
              <w14:schemeClr w14:val="tx1"/>
            </w14:solidFill>
          </w14:textFill>
        </w:rPr>
        <w:t>实</w:t>
      </w:r>
      <w:r>
        <w:rPr>
          <w:color w:val="000000" w:themeColor="text1"/>
          <w14:textFill>
            <w14:solidFill>
              <w14:schemeClr w14:val="tx1"/>
            </w14:solidFill>
          </w14:textFill>
        </w:rPr>
        <w:t>为日常管理行为。</w:t>
      </w:r>
    </w:p>
    <w:p w14:paraId="50E2A1DA">
      <w:pPr>
        <w:pStyle w:val="39"/>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同时，本条所列五项具体目标，与《招标人主体责任履行指引》（发改法规〔2025〕1358号）确立的招标人主体责任体系相对应。该指引要求招标人建立包括“绩效评价”在内的管理机制。其中第1、2、3款（合同核心目标达成、投标承诺要素投入、变更索赔处理）对应指引中的“科学性”要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第4款（过程记录可追溯）对应“合规性”要求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第5款（履约评价与信用联动）对应“绩效评价”机制，</w:t>
      </w:r>
      <w:r>
        <w:rPr>
          <w:strike/>
          <w:color w:val="000000" w:themeColor="text1"/>
          <w14:textFill>
            <w14:solidFill>
              <w14:schemeClr w14:val="tx1"/>
            </w14:solidFill>
          </w14:textFill>
        </w:rPr>
        <w:t>并</w:t>
      </w:r>
      <w:r>
        <w:rPr>
          <w:color w:val="000000" w:themeColor="text1"/>
          <w14:textFill>
            <w14:solidFill>
              <w14:schemeClr w14:val="tx1"/>
            </w14:solidFill>
          </w14:textFill>
        </w:rPr>
        <w:t>直接衔接指引第八条关于招标投标信用体系建设的政策导向。</w:t>
      </w:r>
    </w:p>
    <w:p w14:paraId="21680A81">
      <w:pPr>
        <w:pStyle w:val="5"/>
        <w:rPr>
          <w:color w:val="000000" w:themeColor="text1"/>
          <w14:textFill>
            <w14:solidFill>
              <w14:schemeClr w14:val="tx1"/>
            </w14:solidFill>
          </w14:textFill>
        </w:rPr>
      </w:pPr>
      <w:bookmarkStart w:id="958" w:name="_Toc1435673634"/>
      <w:r>
        <w:rPr>
          <w:color w:val="000000" w:themeColor="text1"/>
          <w14:textFill>
            <w14:solidFill>
              <w14:schemeClr w14:val="tx1"/>
            </w14:solidFill>
          </w14:textFill>
        </w:rPr>
        <w:t>3.4  各方职责</w:t>
      </w:r>
      <w:bookmarkEnd w:id="958"/>
    </w:p>
    <w:p w14:paraId="2F67B654">
      <w:pPr>
        <w:pStyle w:val="39"/>
        <w:rPr>
          <w:color w:val="000000" w:themeColor="text1"/>
          <w14:textFill>
            <w14:solidFill>
              <w14:schemeClr w14:val="tx1"/>
            </w14:solidFill>
          </w14:textFill>
        </w:rPr>
      </w:pPr>
      <w:r>
        <w:rPr>
          <w:b/>
          <w:color w:val="000000" w:themeColor="text1"/>
          <w14:textFill>
            <w14:solidFill>
              <w14:schemeClr w14:val="tx1"/>
            </w14:solidFill>
          </w14:textFill>
        </w:rPr>
        <w:t>3.4.1</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第1款明确</w:t>
      </w:r>
      <w:r>
        <w:rPr>
          <w:color w:val="000000" w:themeColor="text1"/>
          <w14:textFill>
            <w14:solidFill>
              <w14:schemeClr w14:val="tx1"/>
            </w14:solidFill>
          </w14:textFill>
        </w:rPr>
        <w:t>发包人在施工</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履约管理中的岗位设置要求。发包人代表是施工合同中发包人派驻现场的授权代表，其姓名、职务及授权范围应在专用合同条款中明确。合同管理、施工管理、造价管理、资料管理等岗位为发包人可根据项目规模灵活配置的职能岗位，发包人可根据实际需要合并设置或细化分工。</w:t>
      </w:r>
    </w:p>
    <w:p w14:paraId="38CA8896">
      <w:pPr>
        <w:pStyle w:val="39"/>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第2款明确</w:t>
      </w:r>
      <w:r>
        <w:rPr>
          <w:color w:val="000000" w:themeColor="text1"/>
          <w14:textFill>
            <w14:solidFill>
              <w14:schemeClr w14:val="tx1"/>
            </w14:solidFill>
          </w14:textFill>
        </w:rPr>
        <w:t>发包人</w:t>
      </w:r>
      <w:r>
        <w:rPr>
          <w:rFonts w:hint="eastAsia"/>
          <w:color w:val="000000" w:themeColor="text1"/>
          <w14:textFill>
            <w14:solidFill>
              <w14:schemeClr w14:val="tx1"/>
            </w14:solidFill>
          </w14:textFill>
        </w:rPr>
        <w:t>在工程总承包项目</w:t>
      </w:r>
      <w:r>
        <w:rPr>
          <w:color w:val="000000" w:themeColor="text1"/>
          <w14:textFill>
            <w14:solidFill>
              <w14:schemeClr w14:val="tx1"/>
            </w14:solidFill>
          </w14:textFill>
        </w:rPr>
        <w:t>履约管理</w:t>
      </w:r>
      <w:r>
        <w:rPr>
          <w:rFonts w:hint="eastAsia"/>
          <w:color w:val="000000" w:themeColor="text1"/>
          <w14:textFill>
            <w14:solidFill>
              <w14:schemeClr w14:val="tx1"/>
            </w14:solidFill>
          </w14:textFill>
        </w:rPr>
        <w:t>中的</w:t>
      </w:r>
      <w:r>
        <w:rPr>
          <w:color w:val="000000" w:themeColor="text1"/>
          <w14:textFill>
            <w14:solidFill>
              <w14:schemeClr w14:val="tx1"/>
            </w14:solidFill>
          </w14:textFill>
        </w:rPr>
        <w:t>岗位人员</w:t>
      </w:r>
      <w:r>
        <w:rPr>
          <w:rFonts w:hint="eastAsia"/>
          <w:color w:val="000000" w:themeColor="text1"/>
          <w14:textFill>
            <w14:solidFill>
              <w14:schemeClr w14:val="tx1"/>
            </w14:solidFill>
          </w14:textFill>
        </w:rPr>
        <w:t>要求</w:t>
      </w:r>
      <w:r>
        <w:rPr>
          <w:color w:val="000000" w:themeColor="text1"/>
          <w14:textFill>
            <w14:solidFill>
              <w14:schemeClr w14:val="tx1"/>
            </w14:solidFill>
          </w14:textFill>
        </w:rPr>
        <w:t>，突出强调“设计审查岗位”。工程总承包模式将设计纳入承包人职责范围，发包人应对承包人提交的设计成果进行有效审查，因此设立设计审查岗位。该岗位是发包人适应工程总承包模式的能力补强，确保《发包人要求》在设计阶段落地，从源头控制投资风险，减少设计-采购-施工接口的协调损耗，平衡“尊重设计施工一体化”原则与履约监督管理的关系，同时呼应了“经审查的承包人建议书”的审查职责。</w:t>
      </w:r>
    </w:p>
    <w:p w14:paraId="4CE6B4B0">
      <w:pPr>
        <w:pStyle w:val="39"/>
        <w:rPr>
          <w:color w:val="000000" w:themeColor="text1"/>
          <w14:textFill>
            <w14:solidFill>
              <w14:schemeClr w14:val="tx1"/>
            </w14:solidFill>
          </w14:textFill>
        </w:rPr>
      </w:pPr>
      <w:r>
        <w:rPr>
          <w:b/>
          <w:color w:val="000000" w:themeColor="text1"/>
          <w14:textFill>
            <w14:solidFill>
              <w14:schemeClr w14:val="tx1"/>
            </w14:solidFill>
          </w14:textFill>
        </w:rPr>
        <w:t>3.4.</w:t>
      </w:r>
      <w:r>
        <w:rPr>
          <w:rFonts w:hint="eastAsia"/>
          <w:b/>
          <w:color w:val="000000" w:themeColor="text1"/>
          <w14:textFill>
            <w14:solidFill>
              <w14:schemeClr w14:val="tx1"/>
            </w14:solidFill>
          </w14:textFill>
        </w:rPr>
        <w:t>2</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明确</w:t>
      </w:r>
      <w:r>
        <w:rPr>
          <w:color w:val="000000" w:themeColor="text1"/>
          <w14:textFill>
            <w14:solidFill>
              <w14:schemeClr w14:val="tx1"/>
            </w14:solidFill>
          </w14:textFill>
        </w:rPr>
        <w:t>发包人在履约管理中的</w:t>
      </w:r>
      <w:r>
        <w:rPr>
          <w:rFonts w:hint="eastAsia"/>
          <w:color w:val="000000" w:themeColor="text1"/>
          <w14:textFill>
            <w14:solidFill>
              <w14:schemeClr w14:val="tx1"/>
            </w14:solidFill>
          </w14:textFill>
        </w:rPr>
        <w:t>主要</w:t>
      </w:r>
      <w:r>
        <w:rPr>
          <w:color w:val="000000" w:themeColor="text1"/>
          <w14:textFill>
            <w14:solidFill>
              <w14:schemeClr w14:val="tx1"/>
            </w14:solidFill>
          </w14:textFill>
        </w:rPr>
        <w:t>管理职责，涵盖合同履行全周期。其中第1</w:t>
      </w:r>
      <w:r>
        <w:rPr>
          <w:rFonts w:hint="eastAsia"/>
          <w:color w:val="000000" w:themeColor="text1"/>
          <w14:textFill>
            <w14:solidFill>
              <w14:schemeClr w14:val="tx1"/>
            </w14:solidFill>
          </w14:textFill>
        </w:rPr>
        <w:t>款</w:t>
      </w:r>
      <w:r>
        <w:rPr>
          <w:color w:val="000000" w:themeColor="text1"/>
          <w14:textFill>
            <w14:solidFill>
              <w14:schemeClr w14:val="tx1"/>
            </w14:solidFill>
          </w14:textFill>
        </w:rPr>
        <w:t>“履约清单编制与交底”是合同履约管理的起点，发包人应将招标文件、投标文件、中标通知书及合同文件中的核心要求提炼为可操作的履约管理清单，作为全过程履约检查的依据。第4</w:t>
      </w:r>
      <w:r>
        <w:rPr>
          <w:rFonts w:hint="eastAsia"/>
          <w:color w:val="000000" w:themeColor="text1"/>
          <w14:textFill>
            <w14:solidFill>
              <w14:schemeClr w14:val="tx1"/>
            </w14:solidFill>
          </w14:textFill>
        </w:rPr>
        <w:t>款</w:t>
      </w:r>
      <w:r>
        <w:rPr>
          <w:strike/>
          <w:color w:val="000000" w:themeColor="text1"/>
          <w14:textFill>
            <w14:solidFill>
              <w14:schemeClr w14:val="tx1"/>
            </w14:solidFill>
          </w14:textFill>
        </w:rPr>
        <w:t>项</w:t>
      </w:r>
      <w:r>
        <w:rPr>
          <w:color w:val="000000" w:themeColor="text1"/>
          <w14:textFill>
            <w14:solidFill>
              <w14:schemeClr w14:val="tx1"/>
            </w14:solidFill>
          </w14:textFill>
        </w:rPr>
        <w:t>“组织技术交底”包括图纸会审、设计交底及控制点移交等开工前技术准备工作。</w:t>
      </w:r>
    </w:p>
    <w:p w14:paraId="3F4E1350">
      <w:pPr>
        <w:pStyle w:val="39"/>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勘察、设计、监理等服务项目</w:t>
      </w:r>
      <w:r>
        <w:rPr>
          <w:color w:val="000000" w:themeColor="text1"/>
          <w14:textFill>
            <w14:solidFill>
              <w14:schemeClr w14:val="tx1"/>
            </w14:solidFill>
          </w14:textFill>
        </w:rPr>
        <w:t>发包人</w:t>
      </w:r>
      <w:r>
        <w:rPr>
          <w:rFonts w:hint="eastAsia"/>
          <w:color w:val="000000" w:themeColor="text1"/>
          <w14:textFill>
            <w14:solidFill>
              <w14:schemeClr w14:val="tx1"/>
            </w14:solidFill>
          </w14:textFill>
        </w:rPr>
        <w:t>应承担以下</w:t>
      </w:r>
      <w:r>
        <w:rPr>
          <w:color w:val="000000" w:themeColor="text1"/>
          <w14:textFill>
            <w14:solidFill>
              <w14:schemeClr w14:val="tx1"/>
            </w14:solidFill>
          </w14:textFill>
        </w:rPr>
        <w:t>四大管理职责：</w:t>
      </w:r>
      <w:r>
        <w:rPr>
          <w:rFonts w:hint="eastAsia"/>
          <w:color w:val="000000" w:themeColor="text1"/>
          <w14:textFill>
            <w14:solidFill>
              <w14:schemeClr w14:val="tx1"/>
            </w14:solidFill>
          </w14:textFill>
        </w:rPr>
        <w:t>一是</w:t>
      </w:r>
      <w:r>
        <w:rPr>
          <w:color w:val="000000" w:themeColor="text1"/>
          <w14:textFill>
            <w14:solidFill>
              <w14:schemeClr w14:val="tx1"/>
            </w14:solidFill>
          </w14:textFill>
        </w:rPr>
        <w:t>统筹管理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对项目整体履约进度、服务质量、内外协作进行总体统筹；</w:t>
      </w:r>
      <w:r>
        <w:rPr>
          <w:rFonts w:hint="eastAsia"/>
          <w:color w:val="000000" w:themeColor="text1"/>
          <w14:textFill>
            <w14:solidFill>
              <w14:schemeClr w14:val="tx1"/>
            </w14:solidFill>
          </w14:textFill>
        </w:rPr>
        <w:t>二是</w:t>
      </w:r>
      <w:r>
        <w:rPr>
          <w:color w:val="000000" w:themeColor="text1"/>
          <w14:textFill>
            <w14:solidFill>
              <w14:schemeClr w14:val="tx1"/>
            </w14:solidFill>
          </w14:textFill>
        </w:rPr>
        <w:t>审核确认</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对承包人提交的阶段性成果、报告、资料进行审核、确认；</w:t>
      </w:r>
      <w:r>
        <w:rPr>
          <w:rFonts w:hint="eastAsia"/>
          <w:color w:val="000000" w:themeColor="text1"/>
          <w14:textFill>
            <w14:solidFill>
              <w14:schemeClr w14:val="tx1"/>
            </w14:solidFill>
          </w14:textFill>
        </w:rPr>
        <w:t>三是</w:t>
      </w:r>
      <w:r>
        <w:rPr>
          <w:color w:val="000000" w:themeColor="text1"/>
          <w14:textFill>
            <w14:solidFill>
              <w14:schemeClr w14:val="tx1"/>
            </w14:solidFill>
          </w14:textFill>
        </w:rPr>
        <w:t>费用管理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严格按照合同约定节点、标准审核并支付服务费用；</w:t>
      </w:r>
      <w:r>
        <w:rPr>
          <w:rFonts w:hint="eastAsia"/>
          <w:color w:val="000000" w:themeColor="text1"/>
          <w14:textFill>
            <w14:solidFill>
              <w14:schemeClr w14:val="tx1"/>
            </w14:solidFill>
          </w14:textFill>
        </w:rPr>
        <w:t>四是</w:t>
      </w:r>
      <w:r>
        <w:rPr>
          <w:color w:val="000000" w:themeColor="text1"/>
          <w14:textFill>
            <w14:solidFill>
              <w14:schemeClr w14:val="tx1"/>
            </w14:solidFill>
          </w14:textFill>
        </w:rPr>
        <w:t>协调职责</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协调参建各方、外部主管部门、现场相关单位关系，为承包人开展工作创造必要条件。</w:t>
      </w:r>
    </w:p>
    <w:p w14:paraId="38FDF1CB">
      <w:pPr>
        <w:pStyle w:val="5"/>
        <w:rPr>
          <w:color w:val="000000" w:themeColor="text1"/>
          <w14:textFill>
            <w14:solidFill>
              <w14:schemeClr w14:val="tx1"/>
            </w14:solidFill>
          </w14:textFill>
        </w:rPr>
      </w:pPr>
      <w:bookmarkStart w:id="959" w:name="_Toc290665039"/>
      <w:bookmarkStart w:id="960" w:name="_Toc1789609278"/>
      <w:bookmarkStart w:id="961" w:name="_Toc774962669"/>
      <w:bookmarkStart w:id="962" w:name="_Toc187274162"/>
      <w:r>
        <w:rPr>
          <w:color w:val="000000" w:themeColor="text1"/>
          <w14:textFill>
            <w14:solidFill>
              <w14:schemeClr w14:val="tx1"/>
            </w14:solidFill>
          </w14:textFill>
        </w:rPr>
        <w:t>3.5  管理程序</w:t>
      </w:r>
      <w:bookmarkEnd w:id="959"/>
      <w:bookmarkEnd w:id="960"/>
      <w:bookmarkEnd w:id="961"/>
      <w:bookmarkEnd w:id="962"/>
    </w:p>
    <w:p w14:paraId="0131CE65">
      <w:pPr>
        <w:pStyle w:val="39"/>
        <w:rPr>
          <w:color w:val="000000" w:themeColor="text1"/>
          <w14:textFill>
            <w14:solidFill>
              <w14:schemeClr w14:val="tx1"/>
            </w14:solidFill>
          </w14:textFill>
        </w:rPr>
      </w:pPr>
      <w:r>
        <w:rPr>
          <w:b/>
          <w:color w:val="000000" w:themeColor="text1"/>
          <w14:textFill>
            <w14:solidFill>
              <w14:schemeClr w14:val="tx1"/>
            </w14:solidFill>
          </w14:textFill>
        </w:rPr>
        <w:t>3.5.1</w:t>
      </w:r>
      <w:r>
        <w:rPr>
          <w:color w:val="000000" w:themeColor="text1"/>
          <w14:textFill>
            <w14:solidFill>
              <w14:schemeClr w14:val="tx1"/>
            </w14:solidFill>
          </w14:textFill>
        </w:rPr>
        <w:t xml:space="preserve">  本条设定的五步程序构成了本标准的方法论框架。编制组在调研中发现，大量合同纠纷源于过程记录缺失、验收标准模糊。因此，该程序强调“清单化交底、过程化记录、问题化整改、标准化验收、结果化运用”，将履约管理从被动的事后处理转变为主动的过程控制。</w:t>
      </w:r>
    </w:p>
    <w:p w14:paraId="6EC79D67">
      <w:pPr>
        <w:pStyle w:val="4"/>
        <w:rPr>
          <w:color w:val="000000" w:themeColor="text1"/>
          <w14:textFill>
            <w14:solidFill>
              <w14:schemeClr w14:val="tx1"/>
            </w14:solidFill>
          </w14:textFill>
        </w:rPr>
      </w:pPr>
      <w:bookmarkStart w:id="963" w:name="_Toc461952349"/>
      <w:bookmarkStart w:id="964" w:name="_Toc99759624"/>
      <w:bookmarkStart w:id="965" w:name="_Toc794590567"/>
      <w:bookmarkStart w:id="966" w:name="_Toc2087574729"/>
      <w:r>
        <w:rPr>
          <w:color w:val="000000" w:themeColor="text1"/>
          <w14:textFill>
            <w14:solidFill>
              <w14:schemeClr w14:val="tx1"/>
            </w14:solidFill>
          </w14:textFill>
        </w:rPr>
        <w:t>4  合同订立与履约准备管理</w:t>
      </w:r>
      <w:bookmarkEnd w:id="963"/>
      <w:bookmarkEnd w:id="964"/>
      <w:bookmarkEnd w:id="965"/>
      <w:bookmarkEnd w:id="966"/>
    </w:p>
    <w:p w14:paraId="7AEE78C5">
      <w:pPr>
        <w:pStyle w:val="5"/>
        <w:rPr>
          <w:color w:val="000000" w:themeColor="text1"/>
          <w14:textFill>
            <w14:solidFill>
              <w14:schemeClr w14:val="tx1"/>
            </w14:solidFill>
          </w14:textFill>
        </w:rPr>
      </w:pPr>
      <w:bookmarkStart w:id="967" w:name="_Toc1866718443"/>
      <w:bookmarkStart w:id="968" w:name="_Toc821643642"/>
      <w:bookmarkStart w:id="969" w:name="_Toc765362810"/>
      <w:bookmarkStart w:id="970" w:name="_Toc32802441"/>
      <w:r>
        <w:rPr>
          <w:color w:val="000000" w:themeColor="text1"/>
          <w14:textFill>
            <w14:solidFill>
              <w14:schemeClr w14:val="tx1"/>
            </w14:solidFill>
          </w14:textFill>
        </w:rPr>
        <w:t xml:space="preserve">4.2  </w:t>
      </w:r>
      <w:bookmarkEnd w:id="967"/>
      <w:bookmarkEnd w:id="968"/>
      <w:bookmarkEnd w:id="969"/>
      <w:r>
        <w:rPr>
          <w:color w:val="000000" w:themeColor="text1"/>
          <w14:textFill>
            <w14:solidFill>
              <w14:schemeClr w14:val="tx1"/>
            </w14:solidFill>
          </w14:textFill>
        </w:rPr>
        <w:t>合同订立</w:t>
      </w:r>
      <w:bookmarkEnd w:id="970"/>
    </w:p>
    <w:p w14:paraId="299C08CA">
      <w:pPr>
        <w:pStyle w:val="39"/>
        <w:rPr>
          <w:color w:val="000000" w:themeColor="text1"/>
          <w14:textFill>
            <w14:solidFill>
              <w14:schemeClr w14:val="tx1"/>
            </w14:solidFill>
          </w14:textFill>
        </w:rPr>
      </w:pPr>
      <w:r>
        <w:rPr>
          <w:b/>
          <w:color w:val="000000" w:themeColor="text1"/>
          <w14:textFill>
            <w14:solidFill>
              <w14:schemeClr w14:val="tx1"/>
            </w14:solidFill>
          </w14:textFill>
        </w:rPr>
        <w:t>4.2.1</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强调</w:t>
      </w:r>
      <w:r>
        <w:rPr>
          <w:color w:val="000000" w:themeColor="text1"/>
          <w14:textFill>
            <w14:solidFill>
              <w14:schemeClr w14:val="tx1"/>
            </w14:solidFill>
          </w14:textFill>
        </w:rPr>
        <w:t>了合同内容与招标文件、投标文件及中标通知书的一致性要求。这一要求的法律依据直接源自《中华人民共和国招标投标法》第四十六条：“招标人和中标人应当自中标通知书发出之日起三十日内，按照招标文件和中标人的投标文件订立书面合同。招标人和中标人不得再行订立背离合同实质性内容的其他协议。”根据该条规定，中标合同实质自中标通知书送达中标人时即已成立，嗣后签订的书面合同仅为对招标、投标文件的“承继和固化”，因此书面合同本身不得与招标、投标文件相冲突，否则将违反《招标投标法》第四十六条的强制性规定。</w:t>
      </w:r>
    </w:p>
    <w:p w14:paraId="620A0486">
      <w:pPr>
        <w:pStyle w:val="39"/>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《中华人民共和国招标投标法实施条例》第五十七条</w:t>
      </w:r>
      <w:r>
        <w:rPr>
          <w:rFonts w:hint="eastAsia"/>
          <w:color w:val="000000" w:themeColor="text1"/>
          <w14:textFill>
            <w14:solidFill>
              <w14:schemeClr w14:val="tx1"/>
            </w14:solidFill>
          </w14:textFill>
        </w:rPr>
        <w:t>明确：</w:t>
      </w:r>
      <w:r>
        <w:rPr>
          <w:color w:val="000000" w:themeColor="text1"/>
          <w14:textFill>
            <w14:solidFill>
              <w14:schemeClr w14:val="tx1"/>
            </w14:solidFill>
          </w14:textFill>
        </w:rPr>
        <w:t xml:space="preserve"> “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该条与《招标投标法》第四十六条共同构成了合同内容一致性要求的双层法律保障。</w:t>
      </w:r>
    </w:p>
    <w:p w14:paraId="355C6C09">
      <w:pPr>
        <w:pStyle w:val="39"/>
        <w:ind w:firstLine="420" w:firstLineChars="200"/>
        <w:rPr>
          <w:color w:val="000000" w:themeColor="text1"/>
          <w14:textFill>
            <w14:solidFill>
              <w14:schemeClr w14:val="tx1"/>
            </w14:solidFill>
          </w14:textFill>
        </w:rPr>
      </w:pPr>
      <w:r>
        <w:t>本条</w:t>
      </w:r>
      <w:r>
        <w:rPr>
          <w:rFonts w:hint="eastAsia"/>
        </w:rPr>
        <w:t>和相关法律法规规定</w:t>
      </w:r>
      <w:r>
        <w:t>旨在明确合同订立的法定依据与边界，使履约管理始于合法合规的合同订立。实践中，个别项目在签订合同时另行签订“补充协议”降低投标承诺，属于典型的“阴阳合同”，应严格禁止。发包人在合同审核中应依据上述法律规定，确保合同内容与招标、投标文件完全一致，不得签订任何背离实质性内容的“</w:t>
      </w:r>
      <w:r>
        <w:rPr>
          <w:color w:val="000000" w:themeColor="text1"/>
          <w14:textFill>
            <w14:solidFill>
              <w14:schemeClr w14:val="tx1"/>
            </w14:solidFill>
          </w14:textFill>
        </w:rPr>
        <w:t>补充协议”。</w:t>
      </w:r>
    </w:p>
    <w:p w14:paraId="35A96991">
      <w:pPr>
        <w:pStyle w:val="39"/>
        <w:rPr>
          <w:color w:val="000000" w:themeColor="text1"/>
          <w14:textFill>
            <w14:solidFill>
              <w14:schemeClr w14:val="tx1"/>
            </w14:solidFill>
          </w14:textFill>
        </w:rPr>
      </w:pPr>
      <w:r>
        <w:rPr>
          <w:b/>
          <w:color w:val="000000" w:themeColor="text1"/>
          <w14:textFill>
            <w14:solidFill>
              <w14:schemeClr w14:val="tx1"/>
            </w14:solidFill>
          </w14:textFill>
        </w:rPr>
        <w:t>4.2.3</w:t>
      </w:r>
      <w:r>
        <w:rPr>
          <w:color w:val="000000" w:themeColor="text1"/>
          <w14:textFill>
            <w14:solidFill>
              <w14:schemeClr w14:val="tx1"/>
            </w14:solidFill>
          </w14:textFill>
        </w:rPr>
        <w:t xml:space="preserve">  本条是关于“履约清单”的核心规定。履约清单是连接合同文本与日常管理的桥梁。编制该清单的过程，实质上是发包人对承包人投标承诺的再次确认和对合同风险的二次识别。清单需经双方共同确认，赋予其与合同同等的基准地位。清单的动态调整机制，则确保了其能适应项目变更的现实需要，避免管理僵化。</w:t>
      </w:r>
    </w:p>
    <w:p w14:paraId="3F43A06A">
      <w:pPr>
        <w:pStyle w:val="5"/>
        <w:rPr>
          <w:color w:val="000000" w:themeColor="text1"/>
          <w14:textFill>
            <w14:solidFill>
              <w14:schemeClr w14:val="tx1"/>
            </w14:solidFill>
          </w14:textFill>
        </w:rPr>
      </w:pPr>
      <w:bookmarkStart w:id="971" w:name="_Toc1423800835"/>
      <w:bookmarkStart w:id="972" w:name="_Toc527486127"/>
      <w:bookmarkStart w:id="973" w:name="_Toc1033390469"/>
      <w:bookmarkStart w:id="974" w:name="_Toc1255843787"/>
      <w:r>
        <w:rPr>
          <w:color w:val="000000" w:themeColor="text1"/>
          <w14:textFill>
            <w14:solidFill>
              <w14:schemeClr w14:val="tx1"/>
            </w14:solidFill>
          </w14:textFill>
        </w:rPr>
        <w:t>4.4 合同交底</w:t>
      </w:r>
      <w:bookmarkEnd w:id="971"/>
      <w:bookmarkEnd w:id="972"/>
      <w:bookmarkEnd w:id="973"/>
      <w:bookmarkEnd w:id="974"/>
    </w:p>
    <w:p w14:paraId="206DD9F4">
      <w:pPr>
        <w:pStyle w:val="39"/>
        <w:rPr>
          <w:color w:val="000000" w:themeColor="text1"/>
          <w14:textFill>
            <w14:solidFill>
              <w14:schemeClr w14:val="tx1"/>
            </w14:solidFill>
          </w14:textFill>
        </w:rPr>
      </w:pPr>
      <w:r>
        <w:rPr>
          <w:b/>
          <w:color w:val="000000" w:themeColor="text1"/>
          <w14:textFill>
            <w14:solidFill>
              <w14:schemeClr w14:val="tx1"/>
            </w14:solidFill>
          </w14:textFill>
        </w:rPr>
        <w:t>4.4.1</w:t>
      </w:r>
      <w:r>
        <w:rPr>
          <w:color w:val="000000" w:themeColor="text1"/>
          <w14:textFill>
            <w14:solidFill>
              <w14:schemeClr w14:val="tx1"/>
            </w14:solidFill>
          </w14:textFill>
        </w:rPr>
        <w:t xml:space="preserve">  合同交底是履约管理的“第一课”。实践中，合同文件往往由管理层掌握，项目执行团队对合同关键条款（如变更程序、索赔时限、违约责任）理解不清，导致执行偏差。本条规定交底意在确保从项目经理到一线人员，都能准确理解合同要求，明确各自职责边界。</w:t>
      </w:r>
    </w:p>
    <w:p w14:paraId="425E0740">
      <w:pPr>
        <w:pStyle w:val="39"/>
        <w:rPr>
          <w:color w:val="000000" w:themeColor="text1"/>
          <w14:textFill>
            <w14:solidFill>
              <w14:schemeClr w14:val="tx1"/>
            </w14:solidFill>
          </w14:textFill>
        </w:rPr>
      </w:pPr>
      <w:r>
        <w:rPr>
          <w:rFonts w:hint="eastAsia"/>
          <w:b/>
          <w:bCs/>
          <w:color w:val="000000" w:themeColor="text1"/>
          <w14:textFill>
            <w14:solidFill>
              <w14:schemeClr w14:val="tx1"/>
            </w14:solidFill>
          </w14:textFill>
        </w:rPr>
        <w:t>4.4.4</w:t>
      </w:r>
      <w:r>
        <w:rPr>
          <w:rFonts w:hint="eastAsia"/>
          <w:color w:val="000000" w:themeColor="text1"/>
          <w14:textFill>
            <w14:solidFill>
              <w14:schemeClr w14:val="tx1"/>
            </w14:solidFill>
          </w14:textFill>
        </w:rPr>
        <w:t xml:space="preserve">  本条明确发包人内部合同交底的要求，合同交底是实现合同意图向管理行为转化的关键环节，解决发包人项目管理团队对合同内容理解不一致、权责认识不统一的问题。本条规定了内部交底的核心内容，主要有：第1点合同基本情况帮助项目管理团队建立对合同的整体认知；第2点合同范围与界面是避免施工过程中产生界面争议的基础；第3点合同主要条款的重点是变更、索赔的程序和时限要求，以及价款支付条件和价格调整机制，直接影响合同经济目标的实现；第6点要求明确发包人提供资料的准确性责任边界，有助于在后续发生争议时清晰界定责任；第7点履约评价的标准和要求，使项目管理团队在交底阶段即明确履约评价的具体指标和考核方式，引导各方在履约全过程对标履约要求、规范履约行为。</w:t>
      </w:r>
    </w:p>
    <w:p w14:paraId="2C490ADA">
      <w:pPr>
        <w:pStyle w:val="39"/>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工程总承包项目发包人内部合同交底</w:t>
      </w:r>
      <w:r>
        <w:rPr>
          <w:color w:val="000000" w:themeColor="text1"/>
          <w14:textFill>
            <w14:solidFill>
              <w14:schemeClr w14:val="tx1"/>
            </w14:solidFill>
          </w14:textFill>
        </w:rPr>
        <w:t>可以统一内部认识，避免各自为政（工程总承包合同体量大、专业多、条款复杂，涉及设计、采购、施工、试运行等多个领域。不同岗位人员若仅从各自专业视角理解合同，容易产生认识偏差），将合同核心内容向全体项目管理人员集中传达，确保信息统一理解、明确职责边界、执行口径一致，即“团队统一认知”；把握合同关键风险点，提前制定应对措施，即从“被动应对争议”转向“主动管理风险”；将《发包人要求》从“书面文件”转化为“各岗位的执行基准”，建立履约管理的统一工具和标准。</w:t>
      </w:r>
    </w:p>
    <w:p w14:paraId="0932168E">
      <w:pPr>
        <w:pStyle w:val="39"/>
        <w:rPr>
          <w:color w:val="000000" w:themeColor="text1"/>
          <w14:textFill>
            <w14:solidFill>
              <w14:schemeClr w14:val="tx1"/>
            </w14:solidFill>
          </w14:textFill>
        </w:rPr>
      </w:pPr>
      <w:r>
        <w:rPr>
          <w:rFonts w:hint="eastAsia"/>
          <w:b/>
          <w:bCs/>
          <w:color w:val="000000" w:themeColor="text1"/>
          <w14:textFill>
            <w14:solidFill>
              <w14:schemeClr w14:val="tx1"/>
            </w14:solidFill>
          </w14:textFill>
        </w:rPr>
        <w:t>4.4.5</w:t>
      </w:r>
      <w:r>
        <w:rPr>
          <w:rFonts w:hint="eastAsia"/>
          <w:color w:val="000000" w:themeColor="text1"/>
          <w14:textFill>
            <w14:solidFill>
              <w14:schemeClr w14:val="tx1"/>
            </w14:solidFill>
          </w14:textFill>
        </w:rPr>
        <w:t xml:space="preserve">  本条第1款明确施工图纸与技术标准专项交底要求。施工图纸交底是开工前的法定程序。《建设工程质量管理条例》第二十三条规定，设计单位应当就审查合格的施工图设计文件向施工单位作出详细说明。发包人要求设计单位参加交底会，是从源头统一设计意图和质量标准理解的关键控制节点。交底内容涵盖设计意图、技术标准、图纸会审发现的问题、主要材料设备要求以及创优目标、绿色施工、智慧工地等专项要求。</w:t>
      </w:r>
    </w:p>
    <w:p w14:paraId="6197F264">
      <w:pPr>
        <w:pStyle w:val="39"/>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本条第2款明确工程总承包项目的</w:t>
      </w:r>
      <w:r>
        <w:rPr>
          <w:color w:val="000000" w:themeColor="text1"/>
          <w14:textFill>
            <w14:solidFill>
              <w14:schemeClr w14:val="tx1"/>
            </w14:solidFill>
          </w14:textFill>
        </w:rPr>
        <w:t>《发包人要求》专项交底是发包人在合同订立后，向承包人系统说明《发包人要求》中功能需求、技术标准、性能指标等核心内容，并解答承包人疑问、澄清模糊表述的过程。其作用在于弥补需求文件的固有模糊性，确保需求从发包人传导至设计执行层，将事后扯皮转化为事前确认，识别《发包人要求》中的潜在缺陷，及时澄清或补充，从而避免将问题带入设计阶段。</w:t>
      </w:r>
    </w:p>
    <w:p w14:paraId="1D3AD7FF">
      <w:pPr>
        <w:pStyle w:val="39"/>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本条第3款明确工程总承包项目的</w:t>
      </w:r>
      <w:r>
        <w:rPr>
          <w:color w:val="000000" w:themeColor="text1"/>
          <w14:textFill>
            <w14:solidFill>
              <w14:schemeClr w14:val="tx1"/>
            </w14:solidFill>
          </w14:textFill>
        </w:rPr>
        <w:t>《承包人建议书》专项交底是承包人向发包人系统说明《承包人建议书》中的技术方案、设计思路、实施计划、资源配置等内容，解答发包人疑问，并就关键事项达成共识的过程。</w:t>
      </w:r>
    </w:p>
    <w:p w14:paraId="757D1A2A">
      <w:pPr>
        <w:ind w:firstLine="420" w:firstLineChars="200"/>
        <w:rPr>
          <w:rFonts w:ascii="Times New Roman" w:hAnsi="Times New Roman"/>
          <w:bCs/>
          <w:color w:val="000000" w:themeColor="text1"/>
          <w:sz w:val="21"/>
          <w:szCs w:val="21"/>
          <w14:textFill>
            <w14:solidFill>
              <w14:schemeClr w14:val="tx1"/>
            </w14:solidFill>
          </w14:textFill>
        </w:rPr>
      </w:pPr>
      <w:r>
        <w:rPr>
          <w:rFonts w:hint="eastAsia" w:ascii="Times New Roman" w:hAnsi="Times New Roman"/>
          <w:bCs/>
          <w:color w:val="000000" w:themeColor="text1"/>
          <w:sz w:val="21"/>
          <w:szCs w:val="21"/>
          <w14:textFill>
            <w14:solidFill>
              <w14:schemeClr w14:val="tx1"/>
            </w14:solidFill>
          </w14:textFill>
        </w:rPr>
        <w:t>招标</w:t>
      </w:r>
      <w:r>
        <w:rPr>
          <w:rFonts w:ascii="Times New Roman" w:hAnsi="Times New Roman"/>
          <w:bCs/>
          <w:color w:val="000000" w:themeColor="text1"/>
          <w:sz w:val="21"/>
          <w:szCs w:val="21"/>
          <w14:textFill>
            <w14:solidFill>
              <w14:schemeClr w14:val="tx1"/>
            </w14:solidFill>
          </w14:textFill>
        </w:rPr>
        <w:t>投标阶段经评标委员会审查的《承包人建议书》不直接理解为发包人的审查和同意；发包人可指出该阶段《承包人建议书》存在的错误、遗漏、含混、矛盾、不充分之处或其他缺陷或其他审查意见，并提出整改要求。</w:t>
      </w:r>
    </w:p>
    <w:p w14:paraId="5B61B6DD">
      <w:pPr>
        <w:pStyle w:val="39"/>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本条第2、3款</w:t>
      </w:r>
      <w:r>
        <w:rPr>
          <w:color w:val="000000" w:themeColor="text1"/>
          <w14:textFill>
            <w14:solidFill>
              <w14:schemeClr w14:val="tx1"/>
            </w14:solidFill>
          </w14:textFill>
        </w:rPr>
        <w:t>交底程序</w:t>
      </w:r>
      <w:r>
        <w:rPr>
          <w:rFonts w:hint="eastAsia"/>
          <w:color w:val="000000" w:themeColor="text1"/>
          <w14:textFill>
            <w14:solidFill>
              <w14:schemeClr w14:val="tx1"/>
            </w14:solidFill>
          </w14:textFill>
        </w:rPr>
        <w:t>是</w:t>
      </w:r>
      <w:r>
        <w:rPr>
          <w:color w:val="000000" w:themeColor="text1"/>
          <w14:textFill>
            <w14:solidFill>
              <w14:schemeClr w14:val="tx1"/>
            </w14:solidFill>
          </w14:textFill>
        </w:rPr>
        <w:t>工程总承包项目启动阶段的核心沟通机制，</w:t>
      </w:r>
      <w:r>
        <w:rPr>
          <w:rFonts w:hint="eastAsia"/>
          <w:color w:val="000000" w:themeColor="text1"/>
          <w14:textFill>
            <w14:solidFill>
              <w14:schemeClr w14:val="tx1"/>
            </w14:solidFill>
          </w14:textFill>
        </w:rPr>
        <w:t>也是</w:t>
      </w:r>
      <w:r>
        <w:rPr>
          <w:color w:val="000000" w:themeColor="text1"/>
          <w14:textFill>
            <w14:solidFill>
              <w14:schemeClr w14:val="tx1"/>
            </w14:solidFill>
          </w14:textFill>
        </w:rPr>
        <w:t>减少后续设计偏差、变更索赔和履约争议的基础保障。</w:t>
      </w:r>
    </w:p>
    <w:p w14:paraId="08D7165C">
      <w:pPr>
        <w:pStyle w:val="5"/>
        <w:rPr>
          <w:color w:val="000000" w:themeColor="text1"/>
          <w14:textFill>
            <w14:solidFill>
              <w14:schemeClr w14:val="tx1"/>
            </w14:solidFill>
          </w14:textFill>
        </w:rPr>
      </w:pPr>
      <w:bookmarkStart w:id="975" w:name="_Toc1436904398"/>
      <w:r>
        <w:rPr>
          <w:color w:val="000000" w:themeColor="text1"/>
          <w14:textFill>
            <w14:solidFill>
              <w14:schemeClr w14:val="tx1"/>
            </w14:solidFill>
          </w14:textFill>
        </w:rPr>
        <w:t>4.8  前期准备</w:t>
      </w:r>
      <w:bookmarkEnd w:id="975"/>
    </w:p>
    <w:p w14:paraId="3E818EC1">
      <w:pPr>
        <w:pStyle w:val="39"/>
        <w:rPr>
          <w:color w:val="000000" w:themeColor="text1"/>
          <w14:textFill>
            <w14:solidFill>
              <w14:schemeClr w14:val="tx1"/>
            </w14:solidFill>
          </w14:textFill>
        </w:rPr>
      </w:pPr>
      <w:r>
        <w:rPr>
          <w:b/>
          <w:color w:val="000000" w:themeColor="text1"/>
          <w14:textFill>
            <w14:solidFill>
              <w14:schemeClr w14:val="tx1"/>
            </w14:solidFill>
          </w14:textFill>
        </w:rPr>
        <w:t>4.8.1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本条明确</w:t>
      </w:r>
      <w:r>
        <w:rPr>
          <w:color w:val="000000" w:themeColor="text1"/>
          <w14:textFill>
            <w14:solidFill>
              <w14:schemeClr w14:val="tx1"/>
            </w14:solidFill>
          </w14:textFill>
        </w:rPr>
        <w:t>合同订立后，发包人应按合同约定及时完成前期准备工作</w:t>
      </w:r>
      <w:r>
        <w:rPr>
          <w:rFonts w:hint="eastAsia"/>
          <w:color w:val="000000" w:themeColor="text1"/>
          <w14:textFill>
            <w14:solidFill>
              <w14:schemeClr w14:val="tx1"/>
            </w14:solidFill>
          </w14:textFill>
        </w:rPr>
        <w:t>要求。第5款工程总承包项目合同约定的其他前期准备工作包括</w:t>
      </w:r>
      <w:r>
        <w:rPr>
          <w:color w:val="000000" w:themeColor="text1"/>
          <w14:textFill>
            <w14:solidFill>
              <w14:schemeClr w14:val="tx1"/>
            </w14:solidFill>
          </w14:textFill>
        </w:rPr>
        <w:t>提供不同于先设计后施工的传统模式的《发包人要求》及相关技术文件</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为设计的准确性、完整性和可行性提供根本依据，明确风险归属、避免因信息误差引起的合同争议的责任界面，为编制科学、可行的总体进度计划提供前置条件和基准，为减少变更索赔、控制各类风险提供防范目标。</w:t>
      </w:r>
    </w:p>
    <w:p w14:paraId="0B4E58F5">
      <w:pPr>
        <w:pStyle w:val="39"/>
        <w:rPr>
          <w:color w:val="000000" w:themeColor="text1"/>
          <w14:textFill>
            <w14:solidFill>
              <w14:schemeClr w14:val="tx1"/>
            </w14:solidFill>
          </w14:textFill>
        </w:rPr>
      </w:pPr>
      <w:r>
        <w:rPr>
          <w:b/>
          <w:color w:val="000000" w:themeColor="text1"/>
          <w14:textFill>
            <w14:solidFill>
              <w14:schemeClr w14:val="tx1"/>
            </w14:solidFill>
          </w14:textFill>
        </w:rPr>
        <w:t>4.8.</w:t>
      </w:r>
      <w:r>
        <w:rPr>
          <w:rFonts w:hint="eastAsia"/>
          <w:b/>
          <w:color w:val="000000" w:themeColor="text1"/>
          <w14:textFill>
            <w14:solidFill>
              <w14:schemeClr w14:val="tx1"/>
            </w14:solidFill>
          </w14:textFill>
        </w:rPr>
        <w:t>2</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明确工程总承包项目</w:t>
      </w:r>
      <w:r>
        <w:rPr>
          <w:color w:val="000000" w:themeColor="text1"/>
          <w14:textFill>
            <w14:solidFill>
              <w14:schemeClr w14:val="tx1"/>
            </w14:solidFill>
          </w14:textFill>
        </w:rPr>
        <w:t>承包人向发包人提供资料的具体内容。阐明了承包人提供《承包人建议书》及相关技术文件后，发包人完成审查，作为《经审查的承包人建议书》，形成合同执行的基准文件</w:t>
      </w:r>
      <w:r>
        <w:rPr>
          <w:rFonts w:hint="eastAsia"/>
          <w:color w:val="000000" w:themeColor="text1"/>
          <w14:textFill>
            <w14:solidFill>
              <w14:schemeClr w14:val="tx1"/>
            </w14:solidFill>
          </w14:textFill>
        </w:rPr>
        <w:t>。本条提出的</w:t>
      </w:r>
      <w:r>
        <w:rPr>
          <w:color w:val="000000" w:themeColor="text1"/>
          <w14:textFill>
            <w14:solidFill>
              <w14:schemeClr w14:val="tx1"/>
            </w14:solidFill>
          </w14:textFill>
        </w:rPr>
        <w:t>资料准确性责任</w:t>
      </w:r>
      <w:r>
        <w:rPr>
          <w:rFonts w:hint="eastAsia"/>
          <w:color w:val="000000" w:themeColor="text1"/>
          <w14:textFill>
            <w14:solidFill>
              <w14:schemeClr w14:val="tx1"/>
            </w14:solidFill>
          </w14:textFill>
        </w:rPr>
        <w:t>要求</w:t>
      </w:r>
      <w:r>
        <w:rPr>
          <w:color w:val="000000" w:themeColor="text1"/>
          <w14:textFill>
            <w14:solidFill>
              <w14:schemeClr w14:val="tx1"/>
            </w14:solidFill>
          </w14:textFill>
        </w:rPr>
        <w:t>厘清了合同双方所提供资料错误的责任分担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同时与工程总承包项目中承包人对工程质量、安全、工期以及造价等方面承担全面责任的特征相呼应。</w:t>
      </w:r>
    </w:p>
    <w:p w14:paraId="57B7767C">
      <w:pPr>
        <w:pStyle w:val="4"/>
        <w:rPr>
          <w:color w:val="000000" w:themeColor="text1"/>
          <w14:textFill>
            <w14:solidFill>
              <w14:schemeClr w14:val="tx1"/>
            </w14:solidFill>
          </w14:textFill>
        </w:rPr>
      </w:pPr>
      <w:bookmarkStart w:id="976" w:name="_Toc1126753573"/>
      <w:bookmarkStart w:id="977" w:name="_Toc2020639450"/>
      <w:bookmarkStart w:id="978" w:name="_Toc1829579576"/>
      <w:bookmarkStart w:id="979" w:name="_Toc409486573"/>
      <w:r>
        <w:rPr>
          <w:color w:val="000000" w:themeColor="text1"/>
          <w14:textFill>
            <w14:solidFill>
              <w14:schemeClr w14:val="tx1"/>
            </w14:solidFill>
          </w14:textFill>
        </w:rPr>
        <w:t>5  风险管理</w:t>
      </w:r>
      <w:bookmarkEnd w:id="976"/>
      <w:bookmarkEnd w:id="977"/>
      <w:bookmarkEnd w:id="978"/>
      <w:bookmarkEnd w:id="979"/>
    </w:p>
    <w:p w14:paraId="344957D4">
      <w:pPr>
        <w:pStyle w:val="5"/>
        <w:rPr>
          <w:color w:val="000000" w:themeColor="text1"/>
          <w14:textFill>
            <w14:solidFill>
              <w14:schemeClr w14:val="tx1"/>
            </w14:solidFill>
          </w14:textFill>
        </w:rPr>
      </w:pPr>
      <w:bookmarkStart w:id="980" w:name="_Toc440015610"/>
      <w:bookmarkStart w:id="981" w:name="_Toc1576076287"/>
      <w:bookmarkStart w:id="982" w:name="_Toc1530680519"/>
      <w:bookmarkStart w:id="983" w:name="_Toc821971496"/>
      <w:r>
        <w:rPr>
          <w:color w:val="000000" w:themeColor="text1"/>
          <w14:textFill>
            <w14:solidFill>
              <w14:schemeClr w14:val="tx1"/>
            </w14:solidFill>
          </w14:textFill>
        </w:rPr>
        <w:t>5.1  一般规定</w:t>
      </w:r>
      <w:bookmarkEnd w:id="980"/>
      <w:bookmarkEnd w:id="981"/>
      <w:bookmarkEnd w:id="982"/>
      <w:bookmarkEnd w:id="983"/>
    </w:p>
    <w:p w14:paraId="7CBB1F40">
      <w:pPr>
        <w:pStyle w:val="39"/>
        <w:rPr>
          <w:color w:val="000000" w:themeColor="text1"/>
          <w14:textFill>
            <w14:solidFill>
              <w14:schemeClr w14:val="tx1"/>
            </w14:solidFill>
          </w14:textFill>
        </w:rPr>
      </w:pPr>
      <w:r>
        <w:rPr>
          <w:b/>
          <w:color w:val="000000" w:themeColor="text1"/>
          <w14:textFill>
            <w14:solidFill>
              <w14:schemeClr w14:val="tx1"/>
            </w14:solidFill>
          </w14:textFill>
        </w:rPr>
        <w:t>5.1.1</w:t>
      </w:r>
      <w:r>
        <w:rPr>
          <w:color w:val="000000" w:themeColor="text1"/>
          <w14:textFill>
            <w14:solidFill>
              <w14:schemeClr w14:val="tx1"/>
            </w14:solidFill>
          </w14:textFill>
        </w:rPr>
        <w:t xml:space="preserve">  本条将风险管理提升至全过程、系统化高度。传统履约管理往往重进度、轻风险，导致风险事件发生时措手不及。要求建立机制、明确职责，旨在将风险管理从“被动应对”转变为“主动预防”。</w:t>
      </w:r>
    </w:p>
    <w:p w14:paraId="31AAE624">
      <w:pPr>
        <w:pStyle w:val="5"/>
        <w:rPr>
          <w:color w:val="000000" w:themeColor="text1"/>
          <w14:textFill>
            <w14:solidFill>
              <w14:schemeClr w14:val="tx1"/>
            </w14:solidFill>
          </w14:textFill>
        </w:rPr>
      </w:pPr>
      <w:bookmarkStart w:id="984" w:name="_Toc1010399842"/>
      <w:bookmarkStart w:id="985" w:name="_Toc2079742273"/>
      <w:bookmarkStart w:id="986" w:name="_Toc1081881056"/>
      <w:bookmarkStart w:id="987" w:name="_Toc1784216462"/>
      <w:r>
        <w:rPr>
          <w:color w:val="000000" w:themeColor="text1"/>
          <w14:textFill>
            <w14:solidFill>
              <w14:schemeClr w14:val="tx1"/>
            </w14:solidFill>
          </w14:textFill>
        </w:rPr>
        <w:t>5.2  风险识别</w:t>
      </w:r>
      <w:bookmarkEnd w:id="984"/>
      <w:bookmarkEnd w:id="985"/>
      <w:bookmarkEnd w:id="986"/>
      <w:bookmarkEnd w:id="987"/>
    </w:p>
    <w:p w14:paraId="044BD1B7">
      <w:pPr>
        <w:pStyle w:val="39"/>
        <w:rPr>
          <w:color w:val="000000" w:themeColor="text1"/>
          <w14:textFill>
            <w14:solidFill>
              <w14:schemeClr w14:val="tx1"/>
            </w14:solidFill>
          </w14:textFill>
        </w:rPr>
      </w:pPr>
      <w:r>
        <w:rPr>
          <w:b/>
          <w:color w:val="000000" w:themeColor="text1"/>
          <w14:textFill>
            <w14:solidFill>
              <w14:schemeClr w14:val="tx1"/>
            </w14:solidFill>
          </w14:textFill>
        </w:rPr>
        <w:t>5.2.1</w:t>
      </w:r>
      <w:r>
        <w:rPr>
          <w:color w:val="000000" w:themeColor="text1"/>
          <w14:textFill>
            <w14:solidFill>
              <w14:schemeClr w14:val="tx1"/>
            </w14:solidFill>
          </w14:textFill>
        </w:rPr>
        <w:t xml:space="preserve">  风险识别是风险管理的第一步。本条要求结合合同类型识别专业风险，例如：工程总承包合同需重点识别设计变更、技术接口风险；施工合同需重点识别地质条件、材料价格波动风险；服务类合同需重点识别责任边界不清、成果交付标准模糊等风险。</w:t>
      </w:r>
    </w:p>
    <w:p w14:paraId="37916964">
      <w:pPr>
        <w:pStyle w:val="39"/>
        <w:rPr>
          <w:color w:val="000000" w:themeColor="text1"/>
          <w14:textFill>
            <w14:solidFill>
              <w14:schemeClr w14:val="tx1"/>
            </w14:solidFill>
          </w14:textFill>
        </w:rPr>
      </w:pPr>
      <w:r>
        <w:rPr>
          <w:b/>
          <w:color w:val="000000" w:themeColor="text1"/>
          <w14:textFill>
            <w14:solidFill>
              <w14:schemeClr w14:val="tx1"/>
            </w14:solidFill>
          </w14:textFill>
        </w:rPr>
        <w:t>5.2.</w:t>
      </w:r>
      <w:r>
        <w:rPr>
          <w:rFonts w:hint="eastAsia"/>
          <w:b/>
          <w:color w:val="000000" w:themeColor="text1"/>
          <w14:textFill>
            <w14:solidFill>
              <w14:schemeClr w14:val="tx1"/>
            </w14:solidFill>
          </w14:textFill>
        </w:rPr>
        <w:t>3</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提出了</w:t>
      </w:r>
      <w:r>
        <w:rPr>
          <w:color w:val="000000" w:themeColor="text1"/>
          <w14:textFill>
            <w14:solidFill>
              <w14:schemeClr w14:val="tx1"/>
            </w14:solidFill>
          </w14:textFill>
        </w:rPr>
        <w:t>施工</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合同履行中应重点关注的专项风险。地质条件风险中，不可预见部分由发包人承担，承包人作为有经验的承包商可合理预见的部分由承包人承担。施工安全风险由承包人承担主体责任，发包人负监督管理责任。工期延误风险按原因区分责任归属：发包人原因导致的由发包人承担并顺延工期，承包人原因导致的由承包人承担违约责任。材料价格波动风险中，约定幅度内的价格波动由承包人承担，超出约定幅度的部分由发包人承担。劳务用工风险中，工资支付责任由承包人承担，发包人负有按时拨付人工费用的法定义务。分包管理风险由承包人承担连带责任，发包人负有监督和报告义务。环境保护风险的实施责任和行政处罚后果由承包人承担，发包人负有监督义务。</w:t>
      </w:r>
    </w:p>
    <w:p w14:paraId="6084E13E">
      <w:pPr>
        <w:pStyle w:val="39"/>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同时</w:t>
      </w:r>
      <w:r>
        <w:rPr>
          <w:color w:val="000000" w:themeColor="text1"/>
          <w14:textFill>
            <w14:solidFill>
              <w14:schemeClr w14:val="tx1"/>
            </w14:solidFill>
          </w14:textFill>
        </w:rPr>
        <w:t>本条</w:t>
      </w:r>
      <w:r>
        <w:rPr>
          <w:rFonts w:hint="eastAsia"/>
          <w:color w:val="000000" w:themeColor="text1"/>
          <w14:textFill>
            <w14:solidFill>
              <w14:schemeClr w14:val="tx1"/>
            </w14:solidFill>
          </w14:textFill>
        </w:rPr>
        <w:t>还提出了</w:t>
      </w:r>
      <w:r>
        <w:rPr>
          <w:color w:val="000000" w:themeColor="text1"/>
          <w14:textFill>
            <w14:solidFill>
              <w14:schemeClr w14:val="tx1"/>
            </w14:solidFill>
          </w14:textFill>
        </w:rPr>
        <w:t>发包人承担的主要风险，旨在明确风险分担方式，增强防范风险，并防止合同一方将无限风险显失公平的转嫁另一方。其中第1-5条风险，依据《房屋建筑和市政基础设施项目工程总承包管理办法》（建市规〔2019〕12号）第十五条、《公路工程设计施工总承包管理办法》（交通运输部令2015年第10号）第十三条等文件的明确规定，第6条适用水利工程特点的“因工程建设征地补偿和移民安置等发生重大变化引起的调整等”风险（同样适用房屋建筑和市政基础设施项目或交通水运工程发生类似情形），</w:t>
      </w:r>
      <w:r>
        <w:rPr>
          <w:rFonts w:hint="eastAsia"/>
          <w:color w:val="000000" w:themeColor="text1"/>
          <w14:textFill>
            <w14:solidFill>
              <w14:schemeClr w14:val="tx1"/>
            </w14:solidFill>
          </w14:textFill>
        </w:rPr>
        <w:t>参考</w:t>
      </w:r>
      <w:r>
        <w:rPr>
          <w:color w:val="000000" w:themeColor="text1"/>
          <w14:textFill>
            <w14:solidFill>
              <w14:schemeClr w14:val="tx1"/>
            </w14:solidFill>
          </w14:textFill>
        </w:rPr>
        <w:t>多个省份的水利工程总承包管理办法（如宁水规发〔2025〕8号、赣水规范文〔2025〕4号等），同时对各文件不完全相同的表述进行了归纳和统一。</w:t>
      </w:r>
    </w:p>
    <w:p w14:paraId="7C966276">
      <w:pPr>
        <w:pStyle w:val="39"/>
        <w:rPr>
          <w:color w:val="000000" w:themeColor="text1"/>
          <w14:textFill>
            <w14:solidFill>
              <w14:schemeClr w14:val="tx1"/>
            </w14:solidFill>
          </w14:textFill>
        </w:rPr>
      </w:pPr>
      <w:r>
        <w:rPr>
          <w:b/>
          <w:color w:val="000000" w:themeColor="text1"/>
          <w14:textFill>
            <w14:solidFill>
              <w14:schemeClr w14:val="tx1"/>
            </w14:solidFill>
          </w14:textFill>
        </w:rPr>
        <w:t>5.2.</w:t>
      </w:r>
      <w:r>
        <w:rPr>
          <w:rFonts w:hint="eastAsia"/>
          <w:b/>
          <w:color w:val="000000" w:themeColor="text1"/>
          <w14:textFill>
            <w14:solidFill>
              <w14:schemeClr w14:val="tx1"/>
            </w14:solidFill>
          </w14:textFill>
        </w:rPr>
        <w:t>4</w:t>
      </w:r>
      <w:r>
        <w:rPr>
          <w:b/>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提出了</w:t>
      </w:r>
      <w:r>
        <w:rPr>
          <w:color w:val="000000" w:themeColor="text1"/>
          <w14:textFill>
            <w14:solidFill>
              <w14:schemeClr w14:val="tx1"/>
            </w14:solidFill>
          </w14:textFill>
        </w:rPr>
        <w:t>工程总承包</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合同履行中的专项风险。其中，《发包人要求》不明确或不完整风险，旨在明确双方澄清义务、减少设计偏差和变更；地质条件不可预见风险，旨在落实法律规定的风险分担、避免费用争议；设计-采购-施工衔接风险，旨在督促承包人建立接口机制、减少系统协调损耗；联合体履约风险，旨在明确连带责任、防止成员间推诿；长周期设备采购风险，旨在提前锁定供应商和参数，防范供货风险；性能考核不达标风险，旨在将验收标准（尤其是工程所在地的惯例）前置于全过程管理；有经验的承包商可预见风险，旨在界定承包人合理预见义务边界；法律法规政策变化风险，旨在约定调价机制、防止将无限风险显失公平的转移，可将其转化为“可执行的管理措施”。总体上，做好这些风险识别，确保风险合理分配，是实现工程总承包合同履行风险管理的必要路径。</w:t>
      </w:r>
    </w:p>
    <w:p w14:paraId="304C5549">
      <w:pPr>
        <w:pStyle w:val="39"/>
        <w:ind w:firstLine="210" w:firstLineChars="100"/>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同时</w:t>
      </w:r>
      <w:r>
        <w:rPr>
          <w:color w:val="000000" w:themeColor="text1"/>
          <w14:textFill>
            <w14:solidFill>
              <w14:schemeClr w14:val="tx1"/>
            </w14:solidFill>
          </w14:textFill>
        </w:rPr>
        <w:t>本条</w:t>
      </w:r>
      <w:r>
        <w:rPr>
          <w:rFonts w:hint="eastAsia"/>
          <w:color w:val="000000" w:themeColor="text1"/>
          <w14:textFill>
            <w14:solidFill>
              <w14:schemeClr w14:val="tx1"/>
            </w14:solidFill>
          </w14:textFill>
        </w:rPr>
        <w:t>还提出了</w:t>
      </w:r>
      <w:r>
        <w:rPr>
          <w:color w:val="000000" w:themeColor="text1"/>
          <w14:textFill>
            <w14:solidFill>
              <w14:schemeClr w14:val="tx1"/>
            </w14:solidFill>
          </w14:textFill>
        </w:rPr>
        <w:t>发包人承担的主要风险，旨在明确风险分担方式，增强防范风险，并防止合同一方将无限风险显失公平的转嫁另一方。其中第1-5条风险，依据《房屋建筑和市政基础设施项目工程总承包管理办法》（建市规〔2019〕12号）第十五条、《公路工程设计施工总承包管理办法》（交通运输部令2015年第10号）第十三条等文件的明确规定，第6条适用水利工程特点的“因工程建设征地补偿和移民安置等发生重大变化引起的调整等”风险（同样适用房屋建筑和市政基础设施项目或交通水运工程发生类似情形），</w:t>
      </w:r>
      <w:r>
        <w:rPr>
          <w:rFonts w:hint="eastAsia"/>
          <w:color w:val="000000" w:themeColor="text1"/>
          <w14:textFill>
            <w14:solidFill>
              <w14:schemeClr w14:val="tx1"/>
            </w14:solidFill>
          </w14:textFill>
        </w:rPr>
        <w:t>参考</w:t>
      </w:r>
      <w:r>
        <w:rPr>
          <w:color w:val="000000" w:themeColor="text1"/>
          <w14:textFill>
            <w14:solidFill>
              <w14:schemeClr w14:val="tx1"/>
            </w14:solidFill>
          </w14:textFill>
        </w:rPr>
        <w:t>多个省份的水利工程总承包管理办法（如宁水规发〔2025〕8号、赣水规范文〔2025〕4号等），同时对各文件不完全相同的表述进行了归纳和统一。</w:t>
      </w:r>
    </w:p>
    <w:p w14:paraId="68BA9DEF">
      <w:pPr>
        <w:pStyle w:val="39"/>
        <w:rPr>
          <w:color w:val="000000" w:themeColor="text1"/>
          <w14:textFill>
            <w14:solidFill>
              <w14:schemeClr w14:val="tx1"/>
            </w14:solidFill>
          </w14:textFill>
        </w:rPr>
      </w:pPr>
      <w:r>
        <w:rPr>
          <w:b/>
          <w:color w:val="000000" w:themeColor="text1"/>
          <w14:textFill>
            <w14:solidFill>
              <w14:schemeClr w14:val="tx1"/>
            </w14:solidFill>
          </w14:textFill>
        </w:rPr>
        <w:t>5.2.</w:t>
      </w:r>
      <w:r>
        <w:rPr>
          <w:rFonts w:hint="eastAsia"/>
          <w:b/>
          <w:color w:val="000000" w:themeColor="text1"/>
          <w14:textFill>
            <w14:solidFill>
              <w14:schemeClr w14:val="tx1"/>
            </w14:solidFill>
          </w14:textFill>
        </w:rPr>
        <w:t>5</w:t>
      </w:r>
      <w:r>
        <w:rPr>
          <w:b/>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提出了</w:t>
      </w:r>
      <w:r>
        <w:rPr>
          <w:color w:val="000000" w:themeColor="text1"/>
          <w14:textFill>
            <w14:solidFill>
              <w14:schemeClr w14:val="tx1"/>
            </w14:solidFill>
          </w14:textFill>
        </w:rPr>
        <w:t>勘察项目风险集中在地质预判失误、勘察数据失真、外业作业造假、勘察深度不达标、现场作业安全事故</w:t>
      </w:r>
      <w:r>
        <w:rPr>
          <w:rFonts w:hint="eastAsia"/>
          <w:color w:val="000000" w:themeColor="text1"/>
          <w14:textFill>
            <w14:solidFill>
              <w14:schemeClr w14:val="tx1"/>
            </w14:solidFill>
          </w14:textFill>
        </w:rPr>
        <w:t>。</w:t>
      </w:r>
    </w:p>
    <w:p w14:paraId="5A49B5AF">
      <w:pPr>
        <w:pStyle w:val="39"/>
        <w:rPr>
          <w:color w:val="000000" w:themeColor="text1"/>
          <w14:textFill>
            <w14:solidFill>
              <w14:schemeClr w14:val="tx1"/>
            </w14:solidFill>
          </w14:textFill>
        </w:rPr>
      </w:pPr>
      <w:r>
        <w:rPr>
          <w:b/>
          <w:color w:val="000000" w:themeColor="text1"/>
          <w14:textFill>
            <w14:solidFill>
              <w14:schemeClr w14:val="tx1"/>
            </w14:solidFill>
          </w14:textFill>
        </w:rPr>
        <w:t>5.2.</w:t>
      </w:r>
      <w:r>
        <w:rPr>
          <w:rFonts w:hint="eastAsia"/>
          <w:b/>
          <w:color w:val="000000" w:themeColor="text1"/>
          <w14:textFill>
            <w14:solidFill>
              <w14:schemeClr w14:val="tx1"/>
            </w14:solidFill>
          </w14:textFill>
        </w:rPr>
        <w:t>6</w:t>
      </w:r>
      <w:r>
        <w:rPr>
          <w:b/>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提出了</w:t>
      </w:r>
      <w:r>
        <w:rPr>
          <w:color w:val="000000" w:themeColor="text1"/>
          <w14:textFill>
            <w14:solidFill>
              <w14:schemeClr w14:val="tx1"/>
            </w14:solidFill>
          </w14:textFill>
        </w:rPr>
        <w:t>设计项目主要风险为需求界定不清、设计存在技术缺陷、设计深度不足、专业协同不畅、关键人员不到岗履职</w:t>
      </w:r>
      <w:r>
        <w:rPr>
          <w:rFonts w:hint="eastAsia"/>
          <w:color w:val="000000" w:themeColor="text1"/>
          <w14:textFill>
            <w14:solidFill>
              <w14:schemeClr w14:val="tx1"/>
            </w14:solidFill>
          </w14:textFill>
        </w:rPr>
        <w:t>。</w:t>
      </w:r>
    </w:p>
    <w:p w14:paraId="58CBEEF0">
      <w:pPr>
        <w:pStyle w:val="39"/>
        <w:rPr>
          <w:color w:val="000000" w:themeColor="text1"/>
          <w14:textFill>
            <w14:solidFill>
              <w14:schemeClr w14:val="tx1"/>
            </w14:solidFill>
          </w14:textFill>
        </w:rPr>
      </w:pPr>
      <w:r>
        <w:rPr>
          <w:b/>
          <w:color w:val="000000" w:themeColor="text1"/>
          <w14:textFill>
            <w14:solidFill>
              <w14:schemeClr w14:val="tx1"/>
            </w14:solidFill>
          </w14:textFill>
        </w:rPr>
        <w:t>5.2.</w:t>
      </w:r>
      <w:r>
        <w:rPr>
          <w:rFonts w:hint="eastAsia"/>
          <w:b/>
          <w:color w:val="000000" w:themeColor="text1"/>
          <w14:textFill>
            <w14:solidFill>
              <w14:schemeClr w14:val="tx1"/>
            </w14:solidFill>
          </w14:textFill>
        </w:rPr>
        <w:t>7</w:t>
      </w:r>
      <w:r>
        <w:rPr>
          <w:b/>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提出了</w:t>
      </w:r>
      <w:r>
        <w:rPr>
          <w:color w:val="000000" w:themeColor="text1"/>
          <w14:textFill>
            <w14:solidFill>
              <w14:schemeClr w14:val="tx1"/>
            </w14:solidFill>
          </w14:textFill>
        </w:rPr>
        <w:t>监理项目重点防范履职缺位、监理资料虚假、违规执业、与参建单位串通谋取不当利益等风险</w:t>
      </w:r>
      <w:r>
        <w:rPr>
          <w:rFonts w:hint="eastAsia"/>
          <w:color w:val="000000" w:themeColor="text1"/>
          <w14:textFill>
            <w14:solidFill>
              <w14:schemeClr w14:val="tx1"/>
            </w14:solidFill>
          </w14:textFill>
        </w:rPr>
        <w:t>。</w:t>
      </w:r>
    </w:p>
    <w:p w14:paraId="14250366">
      <w:pPr>
        <w:pStyle w:val="5"/>
        <w:rPr>
          <w:color w:val="000000" w:themeColor="text1"/>
          <w14:textFill>
            <w14:solidFill>
              <w14:schemeClr w14:val="tx1"/>
            </w14:solidFill>
          </w14:textFill>
        </w:rPr>
      </w:pPr>
      <w:bookmarkStart w:id="988" w:name="_Toc661693784"/>
      <w:bookmarkStart w:id="989" w:name="_Toc880494683"/>
      <w:bookmarkStart w:id="990" w:name="_Toc1178667559"/>
      <w:bookmarkStart w:id="991" w:name="_Toc1626793828"/>
      <w:r>
        <w:rPr>
          <w:color w:val="000000" w:themeColor="text1"/>
          <w14:textFill>
            <w14:solidFill>
              <w14:schemeClr w14:val="tx1"/>
            </w14:solidFill>
          </w14:textFill>
        </w:rPr>
        <w:t>5.3  风险防范</w:t>
      </w:r>
      <w:bookmarkEnd w:id="988"/>
      <w:bookmarkEnd w:id="989"/>
      <w:bookmarkEnd w:id="990"/>
      <w:bookmarkEnd w:id="991"/>
    </w:p>
    <w:p w14:paraId="6B001973">
      <w:pPr>
        <w:pStyle w:val="39"/>
        <w:rPr>
          <w:color w:val="000000" w:themeColor="text1"/>
          <w14:textFill>
            <w14:solidFill>
              <w14:schemeClr w14:val="tx1"/>
            </w14:solidFill>
          </w14:textFill>
        </w:rPr>
      </w:pPr>
      <w:r>
        <w:rPr>
          <w:b/>
          <w:color w:val="000000" w:themeColor="text1"/>
          <w14:textFill>
            <w14:solidFill>
              <w14:schemeClr w14:val="tx1"/>
            </w14:solidFill>
          </w14:textFill>
        </w:rPr>
        <w:t>5.3.1</w:t>
      </w:r>
      <w:r>
        <w:rPr>
          <w:color w:val="000000" w:themeColor="text1"/>
          <w14:textFill>
            <w14:solidFill>
              <w14:schemeClr w14:val="tx1"/>
            </w14:solidFill>
          </w14:textFill>
        </w:rPr>
        <w:t xml:space="preserve">  预警机制是风险管理的“哨兵”。发包人应督促承包人针对高等级风险设定明确的预警指标（如进度滞后超过5%、成本超支超过10%），当指标触发时，系统或责任人应自动发出预警，启动预案，避免风险恶化。</w:t>
      </w:r>
    </w:p>
    <w:p w14:paraId="2981F818">
      <w:pPr>
        <w:pStyle w:val="39"/>
        <w:rPr>
          <w:color w:val="000000" w:themeColor="text1"/>
          <w14:textFill>
            <w14:solidFill>
              <w14:schemeClr w14:val="tx1"/>
            </w14:solidFill>
          </w14:textFill>
        </w:rPr>
      </w:pPr>
      <w:r>
        <w:rPr>
          <w:b/>
          <w:color w:val="000000" w:themeColor="text1"/>
          <w14:textFill>
            <w14:solidFill>
              <w14:schemeClr w14:val="tx1"/>
            </w14:solidFill>
          </w14:textFill>
        </w:rPr>
        <w:t>5.3.3</w:t>
      </w:r>
      <w:r>
        <w:rPr>
          <w:color w:val="000000" w:themeColor="text1"/>
          <w14:textFill>
            <w14:solidFill>
              <w14:schemeClr w14:val="tx1"/>
            </w14:solidFill>
          </w14:textFill>
        </w:rPr>
        <w:t xml:space="preserve">  本条要求</w:t>
      </w:r>
      <w:r>
        <w:rPr>
          <w:rFonts w:hint="eastAsia"/>
          <w:color w:val="000000" w:themeColor="text1"/>
          <w14:textFill>
            <w14:solidFill>
              <w14:schemeClr w14:val="tx1"/>
            </w14:solidFill>
          </w14:textFill>
        </w:rPr>
        <w:t>施工项目</w:t>
      </w:r>
      <w:r>
        <w:rPr>
          <w:color w:val="000000" w:themeColor="text1"/>
          <w14:textFill>
            <w14:solidFill>
              <w14:schemeClr w14:val="tx1"/>
            </w14:solidFill>
          </w14:textFill>
        </w:rPr>
        <w:t>发包人监督危大工程专项施工方案的实施和验收，是基于《危险性较大的分部分项工程安全管理规定》（住建部令第37号）的职责定位。承包人（总包）是危大工程安全生产法定第一责任人。方案编制、内部审批、技术交底、现场落地、过程管控、组织验收、隐患整改、安全档案建档等责任在施工单位，审核签字责任在施工单位技术负责人和总监理工程师，验收由施工单位和监理单位组织，发包人承担的是监督各责任主体是否按规定程序履行各自职责的监督管理责任。但不替代总包编制方案、不替代监理审批、不承担施工安全法定责任，不因发包人开展监督，而转嫁安全事故责任至发包人。承包人也不得以发包人监督不到位作为违规施工的免责理由。</w:t>
      </w:r>
    </w:p>
    <w:p w14:paraId="7A177D38">
      <w:pPr>
        <w:rPr>
          <w:rFonts w:ascii="Times New Roman" w:hAnsi="Times New Roman"/>
          <w:color w:val="000000" w:themeColor="text1"/>
          <w:sz w:val="21"/>
          <w:szCs w:val="21"/>
          <w14:textFill>
            <w14:solidFill>
              <w14:schemeClr w14:val="tx1"/>
            </w14:solidFill>
          </w14:textFill>
        </w:rPr>
      </w:pPr>
      <w:r>
        <w:rPr>
          <w:rFonts w:hint="eastAsia" w:ascii="Times New Roman" w:hAnsi="Times New Roman"/>
          <w:b/>
          <w:bCs/>
          <w:color w:val="000000" w:themeColor="text1"/>
          <w:sz w:val="21"/>
          <w:szCs w:val="21"/>
          <w14:textFill>
            <w14:solidFill>
              <w14:schemeClr w14:val="tx1"/>
            </w14:solidFill>
          </w14:textFill>
        </w:rPr>
        <w:t>5.3.4</w:t>
      </w:r>
      <w:r>
        <w:rPr>
          <w:rFonts w:hint="eastAsia" w:ascii="Times New Roman" w:hAnsi="Times New Roman"/>
          <w:color w:val="000000" w:themeColor="text1"/>
          <w:sz w:val="21"/>
          <w:szCs w:val="21"/>
          <w14:textFill>
            <w14:solidFill>
              <w14:schemeClr w14:val="tx1"/>
            </w14:solidFill>
          </w14:textFill>
        </w:rPr>
        <w:t xml:space="preserve">  工程总承包项目发包人应确保《发包人要求》完整清晰，明确技术参数确定方法和计价规则；严格审查设计文件对《发包人要求》的响应性；建立变更审批程序、认定标准与价款调整规则；审核试运行与性能考核方案。 ？</w:t>
      </w:r>
    </w:p>
    <w:p w14:paraId="722BB8A3">
      <w:pPr>
        <w:pStyle w:val="39"/>
        <w:rPr>
          <w:color w:val="000000" w:themeColor="text1"/>
          <w14:textFill>
            <w14:solidFill>
              <w14:schemeClr w14:val="tx1"/>
            </w14:solidFill>
          </w14:textFill>
        </w:rPr>
      </w:pPr>
      <w:r>
        <w:rPr>
          <w:b/>
          <w:color w:val="000000" w:themeColor="text1"/>
          <w14:textFill>
            <w14:solidFill>
              <w14:schemeClr w14:val="tx1"/>
            </w14:solidFill>
          </w14:textFill>
        </w:rPr>
        <w:t>5.3.</w:t>
      </w:r>
      <w:r>
        <w:rPr>
          <w:rFonts w:hint="eastAsia"/>
          <w:b/>
          <w:color w:val="000000" w:themeColor="text1"/>
          <w14:textFill>
            <w14:solidFill>
              <w14:schemeClr w14:val="tx1"/>
            </w14:solidFill>
          </w14:textFill>
        </w:rPr>
        <w:t>5</w:t>
      </w:r>
      <w:r>
        <w:rPr>
          <w:color w:val="000000" w:themeColor="text1"/>
          <w14:textFill>
            <w14:solidFill>
              <w14:schemeClr w14:val="tx1"/>
            </w14:solidFill>
          </w14:textFill>
        </w:rPr>
        <w:t xml:space="preserve">  本条要求</w:t>
      </w:r>
      <w:r>
        <w:rPr>
          <w:rFonts w:hint="eastAsia"/>
          <w:color w:val="000000" w:themeColor="text1"/>
          <w14:textFill>
            <w14:solidFill>
              <w14:schemeClr w14:val="tx1"/>
            </w14:solidFill>
          </w14:textFill>
        </w:rPr>
        <w:t>勘察项目风险防范应当要</w:t>
      </w:r>
      <w:r>
        <w:rPr>
          <w:color w:val="000000" w:themeColor="text1"/>
          <w14:textFill>
            <w14:solidFill>
              <w14:schemeClr w14:val="tx1"/>
            </w14:solidFill>
          </w14:textFill>
        </w:rPr>
        <w:t>严格审查勘察大纲；全过程核查外业孔位、深度、取样、试验环节；留存原始记录、影像资料；强化现场安全管理，保障数据真实、成果合规。</w:t>
      </w:r>
    </w:p>
    <w:p w14:paraId="1257499E">
      <w:pPr>
        <w:pStyle w:val="39"/>
        <w:rPr>
          <w:color w:val="000000" w:themeColor="text1"/>
          <w14:textFill>
            <w14:solidFill>
              <w14:schemeClr w14:val="tx1"/>
            </w14:solidFill>
          </w14:textFill>
        </w:rPr>
      </w:pPr>
      <w:r>
        <w:rPr>
          <w:b/>
          <w:color w:val="000000" w:themeColor="text1"/>
          <w14:textFill>
            <w14:solidFill>
              <w14:schemeClr w14:val="tx1"/>
            </w14:solidFill>
          </w14:textFill>
        </w:rPr>
        <w:t>5.3.</w:t>
      </w:r>
      <w:r>
        <w:rPr>
          <w:rFonts w:hint="eastAsia"/>
          <w:b/>
          <w:color w:val="000000" w:themeColor="text1"/>
          <w14:textFill>
            <w14:solidFill>
              <w14:schemeClr w14:val="tx1"/>
            </w14:solidFill>
          </w14:textFill>
        </w:rPr>
        <w:t>6</w:t>
      </w:r>
      <w:r>
        <w:rPr>
          <w:color w:val="000000" w:themeColor="text1"/>
          <w14:textFill>
            <w14:solidFill>
              <w14:schemeClr w14:val="tx1"/>
            </w14:solidFill>
          </w14:textFill>
        </w:rPr>
        <w:t xml:space="preserve">  本条要求</w:t>
      </w:r>
      <w:r>
        <w:rPr>
          <w:rFonts w:hint="eastAsia"/>
          <w:color w:val="000000" w:themeColor="text1"/>
          <w14:textFill>
            <w14:solidFill>
              <w14:schemeClr w14:val="tx1"/>
            </w14:solidFill>
          </w14:textFill>
        </w:rPr>
        <w:t>设计项目风险防范应当要</w:t>
      </w:r>
      <w:r>
        <w:rPr>
          <w:color w:val="000000" w:themeColor="text1"/>
          <w14:textFill>
            <w14:solidFill>
              <w14:schemeClr w14:val="tx1"/>
            </w14:solidFill>
          </w14:textFill>
        </w:rPr>
        <w:t>细化设计任务书与功能需求；落实成果多级校核、各专业协同审查；严格把控设计文件编制深度；监督主要人员到岗及现场技术服务。</w:t>
      </w:r>
    </w:p>
    <w:p w14:paraId="39AFE460">
      <w:pPr>
        <w:pStyle w:val="39"/>
        <w:rPr>
          <w:color w:val="000000" w:themeColor="text1"/>
          <w14:textFill>
            <w14:solidFill>
              <w14:schemeClr w14:val="tx1"/>
            </w14:solidFill>
          </w14:textFill>
        </w:rPr>
      </w:pPr>
      <w:r>
        <w:rPr>
          <w:b/>
          <w:color w:val="000000" w:themeColor="text1"/>
          <w14:textFill>
            <w14:solidFill>
              <w14:schemeClr w14:val="tx1"/>
            </w14:solidFill>
          </w14:textFill>
        </w:rPr>
        <w:t>5.3.</w:t>
      </w:r>
      <w:r>
        <w:rPr>
          <w:rFonts w:hint="eastAsia"/>
          <w:b/>
          <w:color w:val="000000" w:themeColor="text1"/>
          <w14:textFill>
            <w14:solidFill>
              <w14:schemeClr w14:val="tx1"/>
            </w14:solidFill>
          </w14:textFill>
        </w:rPr>
        <w:t>7</w:t>
      </w:r>
      <w:r>
        <w:rPr>
          <w:color w:val="000000" w:themeColor="text1"/>
          <w14:textFill>
            <w14:solidFill>
              <w14:schemeClr w14:val="tx1"/>
            </w14:solidFill>
          </w14:textFill>
        </w:rPr>
        <w:t xml:space="preserve">  本条要求</w:t>
      </w:r>
      <w:r>
        <w:rPr>
          <w:rFonts w:hint="eastAsia"/>
          <w:color w:val="000000" w:themeColor="text1"/>
          <w14:textFill>
            <w14:solidFill>
              <w14:schemeClr w14:val="tx1"/>
            </w14:solidFill>
          </w14:textFill>
        </w:rPr>
        <w:t>监理项目风险防范应当要</w:t>
      </w:r>
      <w:r>
        <w:rPr>
          <w:color w:val="000000" w:themeColor="text1"/>
          <w14:textFill>
            <w14:solidFill>
              <w14:schemeClr w14:val="tx1"/>
            </w14:solidFill>
          </w14:textFill>
        </w:rPr>
        <w:t>监督人员常态化在岗、依规执业；全面核查监理资料真实性、完整性；加大现场巡查与履职考核力度，严肃查处失职、串通违规行为。</w:t>
      </w:r>
    </w:p>
    <w:p w14:paraId="5014A651">
      <w:pPr>
        <w:pStyle w:val="4"/>
        <w:rPr>
          <w:color w:val="000000" w:themeColor="text1"/>
          <w14:textFill>
            <w14:solidFill>
              <w14:schemeClr w14:val="tx1"/>
            </w14:solidFill>
          </w14:textFill>
        </w:rPr>
      </w:pPr>
      <w:bookmarkStart w:id="992" w:name="_Toc1991050032"/>
      <w:bookmarkStart w:id="993" w:name="_Toc959773619"/>
      <w:bookmarkStart w:id="994" w:name="_Toc1003357052"/>
      <w:bookmarkStart w:id="995" w:name="_Toc24855936"/>
      <w:r>
        <w:rPr>
          <w:color w:val="000000" w:themeColor="text1"/>
          <w14:textFill>
            <w14:solidFill>
              <w14:schemeClr w14:val="tx1"/>
            </w14:solidFill>
          </w14:textFill>
        </w:rPr>
        <w:t>6  资源管理</w:t>
      </w:r>
      <w:bookmarkEnd w:id="992"/>
      <w:bookmarkEnd w:id="993"/>
      <w:bookmarkEnd w:id="994"/>
      <w:bookmarkEnd w:id="995"/>
    </w:p>
    <w:p w14:paraId="433D6258">
      <w:pPr>
        <w:pStyle w:val="5"/>
        <w:rPr>
          <w:color w:val="000000" w:themeColor="text1"/>
          <w14:textFill>
            <w14:solidFill>
              <w14:schemeClr w14:val="tx1"/>
            </w14:solidFill>
          </w14:textFill>
        </w:rPr>
      </w:pPr>
      <w:bookmarkStart w:id="996" w:name="_Toc225499328"/>
      <w:bookmarkStart w:id="997" w:name="_Toc562893977"/>
      <w:bookmarkStart w:id="998" w:name="_Toc697832840"/>
      <w:bookmarkStart w:id="999" w:name="_Toc804642476"/>
      <w:r>
        <w:rPr>
          <w:color w:val="000000" w:themeColor="text1"/>
          <w14:textFill>
            <w14:solidFill>
              <w14:schemeClr w14:val="tx1"/>
            </w14:solidFill>
          </w14:textFill>
        </w:rPr>
        <w:t>6.1  一般规定</w:t>
      </w:r>
      <w:bookmarkEnd w:id="996"/>
      <w:bookmarkEnd w:id="997"/>
      <w:bookmarkEnd w:id="998"/>
      <w:bookmarkEnd w:id="999"/>
    </w:p>
    <w:p w14:paraId="24F2998B">
      <w:pPr>
        <w:pStyle w:val="39"/>
        <w:rPr>
          <w:color w:val="000000" w:themeColor="text1"/>
          <w14:textFill>
            <w14:solidFill>
              <w14:schemeClr w14:val="tx1"/>
            </w14:solidFill>
          </w14:textFill>
        </w:rPr>
      </w:pPr>
      <w:r>
        <w:rPr>
          <w:b/>
          <w:color w:val="000000" w:themeColor="text1"/>
          <w14:textFill>
            <w14:solidFill>
              <w14:schemeClr w14:val="tx1"/>
            </w14:solidFill>
          </w14:textFill>
        </w:rPr>
        <w:t>6.1.2</w:t>
      </w:r>
      <w:r>
        <w:rPr>
          <w:color w:val="000000" w:themeColor="text1"/>
          <w14:textFill>
            <w14:solidFill>
              <w14:schemeClr w14:val="tx1"/>
            </w14:solidFill>
          </w14:textFill>
        </w:rPr>
        <w:t xml:space="preserve">  本条将“资源投入”作为核查重点。投标承诺的人员、设备是承包人竞争力的体现，也是保证工程质量、安全、进度的基础。发包人需依据履约清单，建立动态核查机制（如人脸识别考勤、设备进场报验），确保“投标时承诺的”与“干活时到场的”一致，防止“挂靠”和“货不对板”。</w:t>
      </w:r>
    </w:p>
    <w:p w14:paraId="09F93F98">
      <w:pPr>
        <w:pStyle w:val="5"/>
        <w:rPr>
          <w:color w:val="000000" w:themeColor="text1"/>
          <w14:textFill>
            <w14:solidFill>
              <w14:schemeClr w14:val="tx1"/>
            </w14:solidFill>
          </w14:textFill>
        </w:rPr>
      </w:pPr>
      <w:bookmarkStart w:id="1000" w:name="_Toc61171487"/>
      <w:bookmarkStart w:id="1001" w:name="_Toc2049116149"/>
      <w:bookmarkStart w:id="1002" w:name="_Toc1380876137"/>
      <w:bookmarkStart w:id="1003" w:name="_Toc239875624"/>
      <w:r>
        <w:rPr>
          <w:color w:val="000000" w:themeColor="text1"/>
          <w14:textFill>
            <w14:solidFill>
              <w14:schemeClr w14:val="tx1"/>
            </w14:solidFill>
          </w14:textFill>
        </w:rPr>
        <w:t>6.2  人力资源管理</w:t>
      </w:r>
      <w:bookmarkEnd w:id="1000"/>
      <w:bookmarkEnd w:id="1001"/>
      <w:bookmarkEnd w:id="1002"/>
      <w:bookmarkEnd w:id="1003"/>
    </w:p>
    <w:p w14:paraId="3A095262">
      <w:pPr>
        <w:pStyle w:val="39"/>
        <w:rPr>
          <w:color w:val="000000" w:themeColor="text1"/>
          <w14:textFill>
            <w14:solidFill>
              <w14:schemeClr w14:val="tx1"/>
            </w14:solidFill>
          </w14:textFill>
        </w:rPr>
      </w:pPr>
      <w:r>
        <w:rPr>
          <w:b/>
          <w:color w:val="000000" w:themeColor="text1"/>
          <w14:textFill>
            <w14:solidFill>
              <w14:schemeClr w14:val="tx1"/>
            </w14:solidFill>
          </w14:textFill>
        </w:rPr>
        <w:t>6.2.2</w:t>
      </w:r>
      <w:r>
        <w:rPr>
          <w:color w:val="000000" w:themeColor="text1"/>
          <w14:textFill>
            <w14:solidFill>
              <w14:schemeClr w14:val="tx1"/>
            </w14:solidFill>
          </w14:textFill>
        </w:rPr>
        <w:t xml:space="preserve">  主要人员到岗管理是履约管理的难点。本条要求发包人建立到岗考勤和更换审批机制。人员更换必须满足“同等或更高资质”且经发包人书面批准。对于擅自更换项目负责人或技术负责人的，应视为严重违约，按合同约定追究责任并大幅扣减履约评价得分。</w:t>
      </w:r>
    </w:p>
    <w:p w14:paraId="27A11225">
      <w:pPr>
        <w:pStyle w:val="39"/>
        <w:rPr>
          <w:color w:val="000000" w:themeColor="text1"/>
          <w14:textFill>
            <w14:solidFill>
              <w14:schemeClr w14:val="tx1"/>
            </w14:solidFill>
          </w14:textFill>
        </w:rPr>
      </w:pPr>
      <w:r>
        <w:rPr>
          <w:b/>
          <w:color w:val="000000" w:themeColor="text1"/>
          <w14:textFill>
            <w14:solidFill>
              <w14:schemeClr w14:val="tx1"/>
            </w14:solidFill>
          </w14:textFill>
        </w:rPr>
        <w:t>6.2.</w:t>
      </w:r>
      <w:r>
        <w:rPr>
          <w:rFonts w:hint="eastAsia"/>
          <w:b/>
          <w:color w:val="000000" w:themeColor="text1"/>
          <w14:textFill>
            <w14:solidFill>
              <w14:schemeClr w14:val="tx1"/>
            </w14:solidFill>
          </w14:textFill>
        </w:rPr>
        <w:t>3</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要求施工项目</w:t>
      </w:r>
      <w:r>
        <w:rPr>
          <w:color w:val="000000" w:themeColor="text1"/>
          <w14:textFill>
            <w14:solidFill>
              <w14:schemeClr w14:val="tx1"/>
            </w14:solidFill>
          </w14:textFill>
        </w:rPr>
        <w:t>主要人员为合同履约管理的重点关注人员，其他按规定需配备的人员可涵盖施工员、质量员、材料员等发包人认为应列入重点履约管理的人员以及项目安全总监等</w:t>
      </w:r>
      <w:r>
        <w:rPr>
          <w:rFonts w:hint="eastAsia"/>
          <w:color w:val="000000" w:themeColor="text1"/>
          <w14:textFill>
            <w14:solidFill>
              <w14:schemeClr w14:val="tx1"/>
            </w14:solidFill>
          </w14:textFill>
        </w:rPr>
        <w:t>规定</w:t>
      </w:r>
      <w:r>
        <w:rPr>
          <w:color w:val="000000" w:themeColor="text1"/>
          <w14:textFill>
            <w14:solidFill>
              <w14:schemeClr w14:val="tx1"/>
            </w14:solidFill>
          </w14:textFill>
        </w:rPr>
        <w:t>必配人员。</w:t>
      </w:r>
    </w:p>
    <w:p w14:paraId="1D0D624D">
      <w:pPr>
        <w:pStyle w:val="39"/>
        <w:rPr>
          <w:color w:val="000000" w:themeColor="text1"/>
          <w14:textFill>
            <w14:solidFill>
              <w14:schemeClr w14:val="tx1"/>
            </w14:solidFill>
          </w14:textFill>
        </w:rPr>
      </w:pPr>
      <w:r>
        <w:rPr>
          <w:b/>
          <w:color w:val="000000" w:themeColor="text1"/>
          <w14:textFill>
            <w14:solidFill>
              <w14:schemeClr w14:val="tx1"/>
            </w14:solidFill>
          </w14:textFill>
        </w:rPr>
        <w:t>6.2.</w:t>
      </w:r>
      <w:r>
        <w:rPr>
          <w:rFonts w:hint="eastAsia"/>
          <w:b/>
          <w:color w:val="000000" w:themeColor="text1"/>
          <w14:textFill>
            <w14:solidFill>
              <w14:schemeClr w14:val="tx1"/>
            </w14:solidFill>
          </w14:textFill>
        </w:rPr>
        <w:t>4</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要求工程总承包项目</w:t>
      </w:r>
      <w:r>
        <w:rPr>
          <w:color w:val="000000" w:themeColor="text1"/>
          <w14:textFill>
            <w14:solidFill>
              <w14:schemeClr w14:val="tx1"/>
            </w14:solidFill>
          </w14:textFill>
        </w:rPr>
        <w:t>承包人配置的主要人员，主要依据《中华人民共和国标准设计施工总承包招标文件》（2012年版）、《建设项目工程总承包合同GF-2020-0216》的合同条款规定以及各地市场对工程总承包项目的招标资格要求作基础性归纳后制定。</w:t>
      </w:r>
    </w:p>
    <w:p w14:paraId="5F1A774E">
      <w:pPr>
        <w:pStyle w:val="39"/>
        <w:rPr>
          <w:color w:val="000000" w:themeColor="text1"/>
          <w14:textFill>
            <w14:solidFill>
              <w14:schemeClr w14:val="tx1"/>
            </w14:solidFill>
          </w14:textFill>
        </w:rPr>
      </w:pPr>
      <w:r>
        <w:rPr>
          <w:b/>
          <w:bCs/>
          <w:color w:val="000000" w:themeColor="text1"/>
          <w14:textFill>
            <w14:solidFill>
              <w14:schemeClr w14:val="tx1"/>
            </w14:solidFill>
          </w14:textFill>
        </w:rPr>
        <w:t>6.2.</w:t>
      </w:r>
      <w:r>
        <w:rPr>
          <w:rFonts w:hint="eastAsia"/>
          <w:b/>
          <w:bCs/>
          <w:color w:val="000000" w:themeColor="text1"/>
          <w14:textFill>
            <w14:solidFill>
              <w14:schemeClr w14:val="tx1"/>
            </w14:solidFill>
          </w14:textFill>
        </w:rPr>
        <w:t>5-</w:t>
      </w:r>
      <w:r>
        <w:rPr>
          <w:b/>
          <w:bCs/>
          <w:color w:val="000000" w:themeColor="text1"/>
          <w14:textFill>
            <w14:solidFill>
              <w14:schemeClr w14:val="tx1"/>
            </w14:solidFill>
          </w14:textFill>
        </w:rPr>
        <w:t>6.2.</w:t>
      </w:r>
      <w:r>
        <w:rPr>
          <w:rFonts w:hint="eastAsia"/>
          <w:b/>
          <w:bCs/>
          <w:color w:val="000000" w:themeColor="text1"/>
          <w14:textFill>
            <w14:solidFill>
              <w14:schemeClr w14:val="tx1"/>
            </w14:solidFill>
          </w14:textFill>
        </w:rPr>
        <w:t>7</w:t>
      </w:r>
      <w:r>
        <w:rPr>
          <w:b/>
          <w:bCs/>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这三</w:t>
      </w:r>
      <w:r>
        <w:rPr>
          <w:color w:val="000000" w:themeColor="text1"/>
          <w14:textFill>
            <w14:solidFill>
              <w14:schemeClr w14:val="tx1"/>
            </w14:solidFill>
          </w14:textFill>
        </w:rPr>
        <w:t>条</w:t>
      </w:r>
      <w:r>
        <w:rPr>
          <w:rFonts w:hint="eastAsia"/>
          <w:color w:val="000000" w:themeColor="text1"/>
          <w14:textFill>
            <w14:solidFill>
              <w14:schemeClr w14:val="tx1"/>
            </w14:solidFill>
          </w14:textFill>
        </w:rPr>
        <w:t>要求勘察、设计、监理项目</w:t>
      </w:r>
      <w:r>
        <w:rPr>
          <w:color w:val="000000" w:themeColor="text1"/>
          <w14:textFill>
            <w14:solidFill>
              <w14:schemeClr w14:val="tx1"/>
            </w14:solidFill>
          </w14:textFill>
        </w:rPr>
        <w:t>核心关键岗位</w:t>
      </w:r>
      <w:r>
        <w:rPr>
          <w:rFonts w:hint="eastAsia"/>
          <w:color w:val="000000" w:themeColor="text1"/>
          <w14:textFill>
            <w14:solidFill>
              <w14:schemeClr w14:val="tx1"/>
            </w14:solidFill>
          </w14:textFill>
        </w:rPr>
        <w:t>人员</w:t>
      </w:r>
      <w:r>
        <w:rPr>
          <w:color w:val="000000" w:themeColor="text1"/>
          <w14:textFill>
            <w14:solidFill>
              <w14:schemeClr w14:val="tx1"/>
            </w14:solidFill>
          </w14:textFill>
        </w:rPr>
        <w:t>，作为人员到岗核查、岗位认定、违规（挂证、脱岗）判定的标准依据。合同约定主要人员，未经发包人同意不得擅自更换、顶岗、长期脱岗。</w:t>
      </w:r>
    </w:p>
    <w:p w14:paraId="3FC3059E">
      <w:pPr>
        <w:pStyle w:val="5"/>
        <w:rPr>
          <w:color w:val="000000" w:themeColor="text1"/>
          <w14:textFill>
            <w14:solidFill>
              <w14:schemeClr w14:val="tx1"/>
            </w14:solidFill>
          </w14:textFill>
        </w:rPr>
      </w:pPr>
      <w:bookmarkStart w:id="1004" w:name="_Toc1807380271"/>
      <w:r>
        <w:rPr>
          <w:color w:val="000000" w:themeColor="text1"/>
          <w14:textFill>
            <w14:solidFill>
              <w14:schemeClr w14:val="tx1"/>
            </w14:solidFill>
          </w14:textFill>
        </w:rPr>
        <w:t>6.6  劳务管理</w:t>
      </w:r>
      <w:bookmarkEnd w:id="1004"/>
    </w:p>
    <w:p w14:paraId="37BB66ED">
      <w:pPr>
        <w:pStyle w:val="39"/>
        <w:rPr>
          <w:color w:val="000000" w:themeColor="text1"/>
          <w14:textFill>
            <w14:solidFill>
              <w14:schemeClr w14:val="tx1"/>
            </w14:solidFill>
          </w14:textFill>
        </w:rPr>
      </w:pPr>
      <w:r>
        <w:rPr>
          <w:b/>
          <w:color w:val="000000" w:themeColor="text1"/>
          <w14:textFill>
            <w14:solidFill>
              <w14:schemeClr w14:val="tx1"/>
            </w14:solidFill>
          </w14:textFill>
        </w:rPr>
        <w:t>6.6.1-6.6.4</w:t>
      </w:r>
      <w:r>
        <w:rPr>
          <w:color w:val="000000" w:themeColor="text1"/>
          <w14:textFill>
            <w14:solidFill>
              <w14:schemeClr w14:val="tx1"/>
            </w14:solidFill>
          </w14:textFill>
        </w:rPr>
        <w:t xml:space="preserve">  本</w:t>
      </w:r>
      <w:r>
        <w:rPr>
          <w:rFonts w:hint="eastAsia"/>
          <w:color w:val="000000" w:themeColor="text1"/>
          <w14:textFill>
            <w14:solidFill>
              <w14:schemeClr w14:val="tx1"/>
            </w14:solidFill>
          </w14:textFill>
        </w:rPr>
        <w:t>节</w:t>
      </w:r>
      <w:r>
        <w:rPr>
          <w:color w:val="000000" w:themeColor="text1"/>
          <w14:textFill>
            <w14:solidFill>
              <w14:schemeClr w14:val="tx1"/>
            </w14:solidFill>
          </w14:textFill>
        </w:rPr>
        <w:t>劳务管理依据《保障农民工工资支付条例》（国务院令第724号）等规定制定。第6.6.2条发包人检查的四项事项中，劳动合同订立与实名登记、配备劳资专管员并建立台账、开设农民工工资专用账户的法定实施主体均为施工总承包单位，发包人的职责是监督其落实。其中，农民工工资按时足额支付属于发包人的法定监督义务。《保障农民工工资支付条例》第二十九条明确规定建设单位应当加强对施工总承包单位按时足额支付农民工工资的监督。</w:t>
      </w:r>
    </w:p>
    <w:p w14:paraId="2B68547C">
      <w:pPr>
        <w:pStyle w:val="39"/>
        <w:rPr>
          <w:color w:val="000000" w:themeColor="text1"/>
          <w14:textFill>
            <w14:solidFill>
              <w14:schemeClr w14:val="tx1"/>
            </w14:solidFill>
          </w14:textFill>
        </w:rPr>
      </w:pPr>
      <w:r>
        <w:rPr>
          <w:b/>
          <w:bCs/>
          <w:color w:val="000000" w:themeColor="text1"/>
          <w14:textFill>
            <w14:solidFill>
              <w14:schemeClr w14:val="tx1"/>
            </w14:solidFill>
          </w14:textFill>
        </w:rPr>
        <w:t>6.6.3</w:t>
      </w:r>
      <w:r>
        <w:rPr>
          <w:rFonts w:hint="eastAsia"/>
          <w:b/>
          <w:bCs/>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本</w:t>
      </w:r>
      <w:r>
        <w:rPr>
          <w:color w:val="000000" w:themeColor="text1"/>
          <w14:textFill>
            <w14:solidFill>
              <w14:schemeClr w14:val="tx1"/>
            </w14:solidFill>
          </w14:textFill>
        </w:rPr>
        <w:t>条要求发包人将人工费用及时足额拨付至农民工工资专用账户。人工费用拨付周期不得超过一个月，且不得因与承包人产生争议而不拨付工程款中的人工费用。因发包人未按照合同约定及时拨付工程款导致农民工工资拖欠的，应以未结清的工程款为限承担先行垫付责任。发包人发现承包人存在拖欠农民工工资情形的，应责令限期整改，情节严重的应报告主管部门和人力资源社会保障等部门。</w:t>
      </w:r>
    </w:p>
    <w:p w14:paraId="5C7DF056">
      <w:pPr>
        <w:pStyle w:val="4"/>
        <w:rPr>
          <w:color w:val="000000" w:themeColor="text1"/>
          <w14:textFill>
            <w14:solidFill>
              <w14:schemeClr w14:val="tx1"/>
            </w14:solidFill>
          </w14:textFill>
        </w:rPr>
      </w:pPr>
      <w:bookmarkStart w:id="1005" w:name="_Toc230723826"/>
      <w:bookmarkStart w:id="1006" w:name="_Toc952469249"/>
      <w:bookmarkStart w:id="1007" w:name="_Toc1021280118"/>
      <w:bookmarkStart w:id="1008" w:name="_Toc896599299"/>
      <w:r>
        <w:rPr>
          <w:color w:val="000000" w:themeColor="text1"/>
          <w14:textFill>
            <w14:solidFill>
              <w14:schemeClr w14:val="tx1"/>
            </w14:solidFill>
          </w14:textFill>
        </w:rPr>
        <w:t>7  进度管理</w:t>
      </w:r>
      <w:bookmarkEnd w:id="1005"/>
      <w:bookmarkEnd w:id="1006"/>
      <w:bookmarkEnd w:id="1007"/>
      <w:bookmarkEnd w:id="1008"/>
    </w:p>
    <w:p w14:paraId="667A0488">
      <w:pPr>
        <w:pStyle w:val="5"/>
        <w:rPr>
          <w:color w:val="000000" w:themeColor="text1"/>
          <w14:textFill>
            <w14:solidFill>
              <w14:schemeClr w14:val="tx1"/>
            </w14:solidFill>
          </w14:textFill>
        </w:rPr>
      </w:pPr>
      <w:bookmarkStart w:id="1009" w:name="_Toc1575201819"/>
      <w:bookmarkStart w:id="1010" w:name="_Toc1245266153"/>
      <w:bookmarkStart w:id="1011" w:name="_Toc997539946"/>
      <w:bookmarkStart w:id="1012" w:name="_Toc1057760222"/>
      <w:r>
        <w:rPr>
          <w:color w:val="000000" w:themeColor="text1"/>
          <w14:textFill>
            <w14:solidFill>
              <w14:schemeClr w14:val="tx1"/>
            </w14:solidFill>
          </w14:textFill>
        </w:rPr>
        <w:t>7.2  进度计划的编制与确认</w:t>
      </w:r>
      <w:bookmarkEnd w:id="1009"/>
    </w:p>
    <w:p w14:paraId="720CC7D2">
      <w:pPr>
        <w:pStyle w:val="39"/>
        <w:rPr>
          <w:color w:val="000000" w:themeColor="text1"/>
          <w14:textFill>
            <w14:solidFill>
              <w14:schemeClr w14:val="tx1"/>
            </w14:solidFill>
          </w14:textFill>
        </w:rPr>
      </w:pPr>
      <w:r>
        <w:rPr>
          <w:b/>
          <w:color w:val="000000" w:themeColor="text1"/>
          <w14:textFill>
            <w14:solidFill>
              <w14:schemeClr w14:val="tx1"/>
            </w14:solidFill>
          </w14:textFill>
        </w:rPr>
        <w:t>7.2.2</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w:t>
      </w:r>
      <w:r>
        <w:rPr>
          <w:color w:val="000000" w:themeColor="text1"/>
          <w14:textFill>
            <w14:solidFill>
              <w14:schemeClr w14:val="tx1"/>
            </w14:solidFill>
          </w14:textFill>
        </w:rPr>
        <w:t>里程碑节点设置的通用原则。原则一“具有阶段性标志意义”要求里程碑节点能够反映实质性进展，如主体结构封顶、主要设备安装完成等，是设置节点的基本标准。原则二“有利于动态控制和纠偏调整”要求节点设置便于发包人对比实际进度与计划进度，及时发现偏差并采取纠偏措施。原则三“满足合同工期管理和价款支付的需要”要求节点与合同管理目标挂钩，可作为进度款支付的参考节点。原则四“各节点之间的逻辑关系和时限要求应清晰明确”要求节点之间的先后顺序和时间要求明确无误，避免产生争议。</w:t>
      </w:r>
    </w:p>
    <w:p w14:paraId="046454A1">
      <w:pPr>
        <w:pStyle w:val="39"/>
        <w:rPr>
          <w:color w:val="000000" w:themeColor="text1"/>
          <w14:textFill>
            <w14:solidFill>
              <w14:schemeClr w14:val="tx1"/>
            </w14:solidFill>
          </w14:textFill>
        </w:rPr>
      </w:pPr>
      <w:r>
        <w:rPr>
          <w:b/>
          <w:color w:val="000000" w:themeColor="text1"/>
          <w14:textFill>
            <w14:solidFill>
              <w14:schemeClr w14:val="tx1"/>
            </w14:solidFill>
          </w14:textFill>
        </w:rPr>
        <w:t>7.2.</w:t>
      </w:r>
      <w:r>
        <w:rPr>
          <w:rFonts w:hint="eastAsia"/>
          <w:b/>
          <w:color w:val="000000" w:themeColor="text1"/>
          <w14:textFill>
            <w14:solidFill>
              <w14:schemeClr w14:val="tx1"/>
            </w14:solidFill>
          </w14:textFill>
        </w:rPr>
        <w:t>5</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提出对工程总承包项目宜制定</w:t>
      </w:r>
      <w:r>
        <w:rPr>
          <w:color w:val="000000" w:themeColor="text1"/>
          <w14:textFill>
            <w14:solidFill>
              <w14:schemeClr w14:val="tx1"/>
            </w14:solidFill>
          </w14:textFill>
        </w:rPr>
        <w:t>设计采购施工联动计划、</w:t>
      </w:r>
      <w:r>
        <w:rPr>
          <w:rFonts w:hint="eastAsia"/>
          <w:color w:val="000000" w:themeColor="text1"/>
          <w14:textFill>
            <w14:solidFill>
              <w14:schemeClr w14:val="tx1"/>
            </w14:solidFill>
          </w14:textFill>
        </w:rPr>
        <w:t>实行</w:t>
      </w:r>
      <w:r>
        <w:rPr>
          <w:color w:val="000000" w:themeColor="text1"/>
          <w14:textFill>
            <w14:solidFill>
              <w14:schemeClr w14:val="tx1"/>
            </w14:solidFill>
          </w14:textFill>
        </w:rPr>
        <w:t>设计进度跟踪。工程总承包项目相比施工总承包项目增加了设计阶段，因此强调对设计阶段的进度计划与整体的联动做出要求，解决工程总承包中常见的“计划脱节”问题，也是发包人充分体现尊重设计施工一体化原则进行履约管理的基础。</w:t>
      </w:r>
    </w:p>
    <w:p w14:paraId="180F6228">
      <w:pPr>
        <w:pStyle w:val="39"/>
        <w:rPr>
          <w:color w:val="000000" w:themeColor="text1"/>
          <w14:textFill>
            <w14:solidFill>
              <w14:schemeClr w14:val="tx1"/>
            </w14:solidFill>
          </w14:textFill>
        </w:rPr>
      </w:pPr>
      <w:r>
        <w:rPr>
          <w:b/>
          <w:color w:val="000000" w:themeColor="text1"/>
          <w14:textFill>
            <w14:solidFill>
              <w14:schemeClr w14:val="tx1"/>
            </w14:solidFill>
          </w14:textFill>
        </w:rPr>
        <w:t>7.2.</w:t>
      </w:r>
      <w:r>
        <w:rPr>
          <w:rFonts w:hint="eastAsia"/>
          <w:b/>
          <w:color w:val="000000" w:themeColor="text1"/>
          <w14:textFill>
            <w14:solidFill>
              <w14:schemeClr w14:val="tx1"/>
            </w14:solidFill>
          </w14:textFill>
        </w:rPr>
        <w:t>6</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w:t>
      </w:r>
      <w:r>
        <w:rPr>
          <w:color w:val="000000" w:themeColor="text1"/>
          <w14:textFill>
            <w14:solidFill>
              <w14:schemeClr w14:val="tx1"/>
            </w14:solidFill>
          </w14:textFill>
        </w:rPr>
        <w:t>工程总承包项目宜增加设计阶段里程碑节点。与施工总承包不同，工程总承包项目的设计阶段里程碑不仅影响设计工作本身，更直接制约采购、施工和试运行的全过程。</w:t>
      </w:r>
    </w:p>
    <w:p w14:paraId="21355ED1">
      <w:pPr>
        <w:pStyle w:val="5"/>
        <w:rPr>
          <w:color w:val="000000" w:themeColor="text1"/>
          <w14:textFill>
            <w14:solidFill>
              <w14:schemeClr w14:val="tx1"/>
            </w14:solidFill>
          </w14:textFill>
        </w:rPr>
      </w:pPr>
      <w:bookmarkStart w:id="1013" w:name="_Toc311686860"/>
      <w:r>
        <w:rPr>
          <w:color w:val="000000" w:themeColor="text1"/>
          <w14:textFill>
            <w14:solidFill>
              <w14:schemeClr w14:val="tx1"/>
            </w14:solidFill>
          </w14:textFill>
        </w:rPr>
        <w:t>7.4  进度偏差的识别与处置</w:t>
      </w:r>
      <w:bookmarkEnd w:id="1010"/>
      <w:bookmarkEnd w:id="1011"/>
      <w:bookmarkEnd w:id="1012"/>
      <w:bookmarkEnd w:id="1013"/>
    </w:p>
    <w:p w14:paraId="178339F1">
      <w:pPr>
        <w:pStyle w:val="39"/>
        <w:rPr>
          <w:color w:val="000000" w:themeColor="text1"/>
          <w14:textFill>
            <w14:solidFill>
              <w14:schemeClr w14:val="tx1"/>
            </w14:solidFill>
          </w14:textFill>
        </w:rPr>
      </w:pPr>
      <w:r>
        <w:rPr>
          <w:b/>
          <w:color w:val="000000" w:themeColor="text1"/>
          <w14:textFill>
            <w14:solidFill>
              <w14:schemeClr w14:val="tx1"/>
            </w14:solidFill>
          </w14:textFill>
        </w:rPr>
        <w:t>7.4.4</w:t>
      </w:r>
      <w:r>
        <w:rPr>
          <w:color w:val="000000" w:themeColor="text1"/>
          <w14:textFill>
            <w14:solidFill>
              <w14:schemeClr w14:val="tx1"/>
            </w14:solidFill>
          </w14:textFill>
        </w:rPr>
        <w:t xml:space="preserve">  本条确立了“履约期限延误”的认定标准。实践中，发包人往往仅口头催促进度滞后，缺乏书面记录和责任划分，导致后期工期索赔混乱。为此，本条要求发包人进行偏差分析、书面通知、明确责任归属，并将“持续落后”界定为“延误”，为追究违约责任及启动保险、担保索赔提供客观依据。</w:t>
      </w:r>
    </w:p>
    <w:p w14:paraId="20528701">
      <w:pPr>
        <w:pStyle w:val="39"/>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该认定标准是对《国务院办公厅关于创新完善体制机制推动招标投标市场规范健康发展的意见》（国办发〔2024〕21号）中“督促履约”要求在进度管理维度的具体落实。该文件明确要求招标人承担“督促履约”责任，进度管理是履约管理的核心内容之一。本条通过建立可操作的延误认定机制，使“督促履约”在进度管理领域有了明确抓手，也为后续信用联动（如将严重延误纳入不良行为记录）提供了依据。</w:t>
      </w:r>
    </w:p>
    <w:p w14:paraId="1911EA89">
      <w:pPr>
        <w:pStyle w:val="5"/>
        <w:rPr>
          <w:color w:val="000000" w:themeColor="text1"/>
          <w14:textFill>
            <w14:solidFill>
              <w14:schemeClr w14:val="tx1"/>
            </w14:solidFill>
          </w14:textFill>
        </w:rPr>
      </w:pPr>
      <w:bookmarkStart w:id="1014" w:name="_Toc1385415571"/>
      <w:bookmarkStart w:id="1015" w:name="_Toc1708682596"/>
      <w:bookmarkStart w:id="1016" w:name="_Toc1416890945"/>
      <w:bookmarkStart w:id="1017" w:name="_Toc977339368"/>
      <w:r>
        <w:rPr>
          <w:color w:val="000000" w:themeColor="text1"/>
          <w14:textFill>
            <w14:solidFill>
              <w14:schemeClr w14:val="tx1"/>
            </w14:solidFill>
          </w14:textFill>
        </w:rPr>
        <w:t>7.5  进度计划调整</w:t>
      </w:r>
      <w:bookmarkEnd w:id="1014"/>
      <w:bookmarkEnd w:id="1015"/>
      <w:bookmarkEnd w:id="1016"/>
      <w:bookmarkEnd w:id="1017"/>
    </w:p>
    <w:p w14:paraId="5F5F53F2">
      <w:pPr>
        <w:pStyle w:val="39"/>
        <w:rPr>
          <w:color w:val="000000" w:themeColor="text1"/>
          <w14:textFill>
            <w14:solidFill>
              <w14:schemeClr w14:val="tx1"/>
            </w14:solidFill>
          </w14:textFill>
        </w:rPr>
      </w:pPr>
      <w:r>
        <w:rPr>
          <w:b/>
          <w:color w:val="000000" w:themeColor="text1"/>
          <w14:textFill>
            <w14:solidFill>
              <w14:schemeClr w14:val="tx1"/>
            </w14:solidFill>
          </w14:textFill>
        </w:rPr>
        <w:t>7.5.2</w:t>
      </w:r>
      <w:r>
        <w:rPr>
          <w:color w:val="000000" w:themeColor="text1"/>
          <w14:textFill>
            <w14:solidFill>
              <w14:schemeClr w14:val="tx1"/>
            </w14:solidFill>
          </w14:textFill>
        </w:rPr>
        <w:t xml:space="preserve">  进度计划调整需严格审批。任何一方不得随意压缩合理工期。发包人应重点审核调整方案是否合理、是否预留了足够的安全时间、是否对其他里程碑节点产生影响。对于因发包人原因导致的调整，需按合同约定给予费用和工期补偿；对于承包人原因导致的调整，不得顺延工期，相关赶工费用由承包人承担。</w:t>
      </w:r>
    </w:p>
    <w:p w14:paraId="6724645F">
      <w:pPr>
        <w:pStyle w:val="4"/>
        <w:rPr>
          <w:color w:val="000000" w:themeColor="text1"/>
          <w14:textFill>
            <w14:solidFill>
              <w14:schemeClr w14:val="tx1"/>
            </w14:solidFill>
          </w14:textFill>
        </w:rPr>
      </w:pPr>
      <w:bookmarkStart w:id="1018" w:name="_Toc60949551"/>
      <w:bookmarkStart w:id="1019" w:name="_Toc371016299"/>
      <w:bookmarkStart w:id="1020" w:name="_Toc250586778"/>
      <w:bookmarkStart w:id="1021" w:name="_Toc841094420"/>
      <w:r>
        <w:rPr>
          <w:color w:val="000000" w:themeColor="text1"/>
          <w14:textFill>
            <w14:solidFill>
              <w14:schemeClr w14:val="tx1"/>
            </w14:solidFill>
          </w14:textFill>
        </w:rPr>
        <w:t>8  质量管理</w:t>
      </w:r>
      <w:bookmarkEnd w:id="1018"/>
      <w:bookmarkEnd w:id="1019"/>
      <w:bookmarkEnd w:id="1020"/>
      <w:bookmarkEnd w:id="1021"/>
    </w:p>
    <w:p w14:paraId="7A2B7B35">
      <w:pPr>
        <w:pStyle w:val="5"/>
        <w:rPr>
          <w:color w:val="000000" w:themeColor="text1"/>
          <w14:textFill>
            <w14:solidFill>
              <w14:schemeClr w14:val="tx1"/>
            </w14:solidFill>
          </w14:textFill>
        </w:rPr>
      </w:pPr>
      <w:bookmarkStart w:id="1022" w:name="_Toc1675114995"/>
      <w:bookmarkStart w:id="1023" w:name="_Toc1021484888"/>
      <w:bookmarkStart w:id="1024" w:name="_Toc1554769396"/>
      <w:bookmarkStart w:id="1025" w:name="_Toc128820946"/>
      <w:r>
        <w:rPr>
          <w:color w:val="000000" w:themeColor="text1"/>
          <w14:textFill>
            <w14:solidFill>
              <w14:schemeClr w14:val="tx1"/>
            </w14:solidFill>
          </w14:textFill>
        </w:rPr>
        <w:t>8.3  质量目标与标准确定</w:t>
      </w:r>
      <w:bookmarkEnd w:id="1022"/>
      <w:bookmarkEnd w:id="1023"/>
      <w:bookmarkEnd w:id="1024"/>
      <w:bookmarkEnd w:id="1025"/>
    </w:p>
    <w:p w14:paraId="71229344">
      <w:pPr>
        <w:pStyle w:val="39"/>
        <w:rPr>
          <w:color w:val="000000" w:themeColor="text1"/>
          <w14:textFill>
            <w14:solidFill>
              <w14:schemeClr w14:val="tx1"/>
            </w14:solidFill>
          </w14:textFill>
        </w:rPr>
      </w:pPr>
      <w:r>
        <w:rPr>
          <w:b/>
          <w:color w:val="000000" w:themeColor="text1"/>
          <w14:textFill>
            <w14:solidFill>
              <w14:schemeClr w14:val="tx1"/>
            </w14:solidFill>
          </w14:textFill>
        </w:rPr>
        <w:t>8.3.1</w:t>
      </w:r>
      <w:r>
        <w:rPr>
          <w:color w:val="000000" w:themeColor="text1"/>
          <w14:textFill>
            <w14:solidFill>
              <w14:schemeClr w14:val="tx1"/>
            </w14:solidFill>
          </w14:textFill>
        </w:rPr>
        <w:t xml:space="preserve">  质量目标必须“可量化、可考核”。避免使用“优质”“良好”等模糊表述，应明确为“符合《……》验收规范，一次验收合格率100%”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“达到市级优质工程标准”等具体指标。验收标准应列明依据的规范名称和条文号。</w:t>
      </w:r>
    </w:p>
    <w:p w14:paraId="29399888">
      <w:pPr>
        <w:pStyle w:val="39"/>
        <w:rPr>
          <w:b/>
          <w:color w:val="000000" w:themeColor="text1"/>
          <w14:textFill>
            <w14:solidFill>
              <w14:schemeClr w14:val="tx1"/>
            </w14:solidFill>
          </w14:textFill>
        </w:rPr>
      </w:pPr>
      <w:r>
        <w:rPr>
          <w:b/>
          <w:color w:val="000000" w:themeColor="text1"/>
          <w14:textFill>
            <w14:solidFill>
              <w14:schemeClr w14:val="tx1"/>
            </w14:solidFill>
          </w14:textFill>
        </w:rPr>
        <w:t>8.3.2</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w:t>
      </w:r>
      <w:r>
        <w:rPr>
          <w:color w:val="000000" w:themeColor="text1"/>
          <w14:textFill>
            <w14:solidFill>
              <w14:schemeClr w14:val="tx1"/>
            </w14:solidFill>
          </w14:textFill>
        </w:rPr>
        <w:t>工程总承包项目的设计质量目标和管理。在工程总承包模式下，设计工作由承包人负责，但其质量后果直接影响发包人的投资效益和项目功能实现，设计质量是基于风险分担和关口前移原则的必要目标与标准。</w:t>
      </w:r>
    </w:p>
    <w:p w14:paraId="6A5FFCEC">
      <w:pPr>
        <w:pStyle w:val="39"/>
        <w:rPr>
          <w:color w:val="000000" w:themeColor="text1"/>
          <w14:textFill>
            <w14:solidFill>
              <w14:schemeClr w14:val="tx1"/>
            </w14:solidFill>
          </w14:textFill>
        </w:rPr>
      </w:pPr>
      <w:r>
        <w:rPr>
          <w:b/>
          <w:color w:val="000000" w:themeColor="text1"/>
          <w14:textFill>
            <w14:solidFill>
              <w14:schemeClr w14:val="tx1"/>
            </w14:solidFill>
          </w14:textFill>
        </w:rPr>
        <w:t xml:space="preserve">8.3.3 </w:t>
      </w:r>
      <w:r>
        <w:rPr>
          <w:color w:val="000000" w:themeColor="text1"/>
          <w14:textFill>
            <w14:solidFill>
              <w14:schemeClr w14:val="tx1"/>
            </w14:solidFill>
          </w14:textFill>
        </w:rPr>
        <w:t xml:space="preserve"> 本条要求发包人在施工</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合同中明确工程创优目标及相关奖罚条款。创优目标（如鲁班奖、省级优质工程等）属于鼓励性标准而非强制性标准，可作为合同中的激励性条款，发包人应在合同中明确约定创优目标的考核标准、奖励措施和费用承担方式。</w:t>
      </w:r>
    </w:p>
    <w:p w14:paraId="10659570">
      <w:pPr>
        <w:pStyle w:val="5"/>
        <w:rPr>
          <w:color w:val="000000" w:themeColor="text1"/>
          <w14:textFill>
            <w14:solidFill>
              <w14:schemeClr w14:val="tx1"/>
            </w14:solidFill>
          </w14:textFill>
        </w:rPr>
      </w:pPr>
      <w:bookmarkStart w:id="1026" w:name="_Toc81204478"/>
      <w:r>
        <w:rPr>
          <w:color w:val="000000" w:themeColor="text1"/>
          <w14:textFill>
            <w14:solidFill>
              <w14:schemeClr w14:val="tx1"/>
            </w14:solidFill>
          </w14:textFill>
        </w:rPr>
        <w:t>8.4  过程质量检查</w:t>
      </w:r>
      <w:bookmarkEnd w:id="1026"/>
    </w:p>
    <w:p w14:paraId="0239B653">
      <w:pPr>
        <w:pStyle w:val="39"/>
        <w:rPr>
          <w:b/>
          <w:color w:val="000000" w:themeColor="text1"/>
          <w14:textFill>
            <w14:solidFill>
              <w14:schemeClr w14:val="tx1"/>
            </w14:solidFill>
          </w14:textFill>
        </w:rPr>
      </w:pPr>
      <w:r>
        <w:rPr>
          <w:b/>
          <w:color w:val="000000" w:themeColor="text1"/>
          <w14:textFill>
            <w14:solidFill>
              <w14:schemeClr w14:val="tx1"/>
            </w14:solidFill>
          </w14:textFill>
        </w:rPr>
        <w:t>8.4.3</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要求</w:t>
      </w:r>
      <w:r>
        <w:rPr>
          <w:color w:val="000000" w:themeColor="text1"/>
          <w14:textFill>
            <w14:solidFill>
              <w14:schemeClr w14:val="tx1"/>
            </w14:solidFill>
          </w14:textFill>
        </w:rPr>
        <w:t>工程总承包项目的设计质量控制、设计施工采购接口质量协调，以体现尊重设计施工一体化原则。在工程总承包模式下，设计是连接《发包人要求》与工程实体实施的中枢环节。在过程质量检查中，设计是源头控制，加强设计质量控制和设计施工采购接口质量协调，是发挥工程总承包一体化优势、规避“联而不通”风险的关键措施。</w:t>
      </w:r>
    </w:p>
    <w:p w14:paraId="2422A2A3">
      <w:pPr>
        <w:pStyle w:val="39"/>
        <w:rPr>
          <w:color w:val="000000" w:themeColor="text1"/>
          <w14:textFill>
            <w14:solidFill>
              <w14:schemeClr w14:val="tx1"/>
            </w14:solidFill>
          </w14:textFill>
        </w:rPr>
      </w:pPr>
      <w:r>
        <w:rPr>
          <w:b/>
          <w:color w:val="000000" w:themeColor="text1"/>
          <w14:textFill>
            <w14:solidFill>
              <w14:schemeClr w14:val="tx1"/>
            </w14:solidFill>
          </w14:textFill>
        </w:rPr>
        <w:t>8.4.4</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要求施工项目</w:t>
      </w:r>
      <w:r>
        <w:rPr>
          <w:color w:val="000000" w:themeColor="text1"/>
          <w14:textFill>
            <w14:solidFill>
              <w14:schemeClr w14:val="tx1"/>
            </w14:solidFill>
          </w14:textFill>
        </w:rPr>
        <w:t>隐蔽工程及中间验收影像资料的留存要求。发包人应检查承包人留存的影像资料及验收记录，影像资料应能反映验收部位、验收人员及验收时间等要素，与举牌验收制度的要求保持一致。相关资料作为履约验收及结算的依据，能够有效预防和解决隐蔽工程质量争议，实现质量责任可追溯，也为结算审核提供完整的支撑文件。</w:t>
      </w:r>
    </w:p>
    <w:p w14:paraId="0803FC3A">
      <w:pPr>
        <w:pStyle w:val="5"/>
        <w:rPr>
          <w:color w:val="000000" w:themeColor="text1"/>
          <w14:textFill>
            <w14:solidFill>
              <w14:schemeClr w14:val="tx1"/>
            </w14:solidFill>
          </w14:textFill>
        </w:rPr>
      </w:pPr>
      <w:bookmarkStart w:id="1027" w:name="_Toc1460404118"/>
      <w:bookmarkStart w:id="1028" w:name="_Toc365432226"/>
      <w:bookmarkStart w:id="1029" w:name="_Toc109246174"/>
      <w:bookmarkStart w:id="1030" w:name="_Toc1478540706"/>
      <w:r>
        <w:rPr>
          <w:color w:val="000000" w:themeColor="text1"/>
          <w14:textFill>
            <w14:solidFill>
              <w14:schemeClr w14:val="tx1"/>
            </w14:solidFill>
          </w14:textFill>
        </w:rPr>
        <w:t>8.5  质量问题与偏差处置</w:t>
      </w:r>
      <w:bookmarkEnd w:id="1027"/>
      <w:bookmarkEnd w:id="1028"/>
      <w:bookmarkEnd w:id="1029"/>
      <w:bookmarkEnd w:id="1030"/>
    </w:p>
    <w:p w14:paraId="1BEFEDED">
      <w:pPr>
        <w:pStyle w:val="39"/>
        <w:rPr>
          <w:color w:val="000000" w:themeColor="text1"/>
          <w14:textFill>
            <w14:solidFill>
              <w14:schemeClr w14:val="tx1"/>
            </w14:solidFill>
          </w14:textFill>
        </w:rPr>
      </w:pPr>
      <w:r>
        <w:rPr>
          <w:b/>
          <w:color w:val="000000" w:themeColor="text1"/>
          <w14:textFill>
            <w14:solidFill>
              <w14:schemeClr w14:val="tx1"/>
            </w14:solidFill>
          </w14:textFill>
        </w:rPr>
        <w:t>8.5.3</w:t>
      </w:r>
      <w:r>
        <w:rPr>
          <w:color w:val="000000" w:themeColor="text1"/>
          <w14:textFill>
            <w14:solidFill>
              <w14:schemeClr w14:val="tx1"/>
            </w14:solidFill>
          </w14:textFill>
        </w:rPr>
        <w:t xml:space="preserve">  本条规定了质量事故的处置程序。一旦发生质量事故，往往伴随巨大的安全风险和财产损失。要求承包人“立即停止相关作业”，是为了防止损失扩大。本条强调了“报告、调查、方案审批、整改、验收”的闭环流程，确保质量问题得到实质性、可追溯的解决，而非表面应付。</w:t>
      </w:r>
    </w:p>
    <w:p w14:paraId="5E87610E">
      <w:pPr>
        <w:pStyle w:val="5"/>
      </w:pPr>
      <w:bookmarkStart w:id="1031" w:name="_Toc1764353465"/>
      <w:bookmarkStart w:id="1032" w:name="_Toc482574750"/>
      <w:bookmarkStart w:id="1033" w:name="_Toc693734218"/>
      <w:bookmarkStart w:id="1034" w:name="_Toc1156847664"/>
      <w:r>
        <w:t>8.7  成果交付前的质量检查</w:t>
      </w:r>
      <w:bookmarkEnd w:id="1031"/>
      <w:bookmarkEnd w:id="1032"/>
      <w:bookmarkEnd w:id="1033"/>
      <w:bookmarkEnd w:id="1034"/>
    </w:p>
    <w:p w14:paraId="0AA34CA0">
      <w:pPr>
        <w:pStyle w:val="39"/>
        <w:rPr>
          <w:color w:val="000000" w:themeColor="text1"/>
          <w14:textFill>
            <w14:solidFill>
              <w14:schemeClr w14:val="tx1"/>
            </w14:solidFill>
          </w14:textFill>
        </w:rPr>
      </w:pPr>
      <w:r>
        <w:rPr>
          <w:b/>
        </w:rPr>
        <w:t>8.7.1</w:t>
      </w:r>
      <w:r>
        <w:t xml:space="preserve">  成果交付前的承包人自检是必要</w:t>
      </w:r>
      <w:r>
        <w:rPr>
          <w:color w:val="000000" w:themeColor="text1"/>
          <w14:textFill>
            <w14:solidFill>
              <w14:schemeClr w14:val="tx1"/>
            </w14:solidFill>
          </w14:textFill>
        </w:rPr>
        <w:t>前置程序。承包人内部自查合格后，应出具书面自查报告，由项目经理签字确认。发包人不得接受未经承包人内部自查的验收申请，否则一旦发生质量问题，责任边界不清。</w:t>
      </w:r>
    </w:p>
    <w:p w14:paraId="35BF573D">
      <w:pPr>
        <w:pStyle w:val="5"/>
        <w:rPr>
          <w:color w:val="000000" w:themeColor="text1"/>
          <w14:textFill>
            <w14:solidFill>
              <w14:schemeClr w14:val="tx1"/>
            </w14:solidFill>
          </w14:textFill>
        </w:rPr>
      </w:pPr>
      <w:bookmarkStart w:id="1035" w:name="_Toc1246821267"/>
      <w:r>
        <w:rPr>
          <w:color w:val="000000" w:themeColor="text1"/>
          <w14:textFill>
            <w14:solidFill>
              <w14:schemeClr w14:val="tx1"/>
            </w14:solidFill>
          </w14:textFill>
        </w:rPr>
        <w:t>8.7  成果交付前的质量检查</w:t>
      </w:r>
      <w:bookmarkEnd w:id="1035"/>
    </w:p>
    <w:p w14:paraId="08829315">
      <w:pPr>
        <w:pStyle w:val="39"/>
        <w:rPr>
          <w:color w:val="000000" w:themeColor="text1"/>
          <w14:textFill>
            <w14:solidFill>
              <w14:schemeClr w14:val="tx1"/>
            </w14:solidFill>
          </w14:textFill>
        </w:rPr>
      </w:pPr>
      <w:r>
        <w:rPr>
          <w:b/>
          <w:color w:val="000000" w:themeColor="text1"/>
          <w14:textFill>
            <w14:solidFill>
              <w14:schemeClr w14:val="tx1"/>
            </w14:solidFill>
          </w14:textFill>
        </w:rPr>
        <w:t>8.</w:t>
      </w:r>
      <w:r>
        <w:rPr>
          <w:rFonts w:hint="eastAsia"/>
          <w:b/>
          <w:color w:val="000000" w:themeColor="text1"/>
          <w14:textFill>
            <w14:solidFill>
              <w14:schemeClr w14:val="tx1"/>
            </w14:solidFill>
          </w14:textFill>
        </w:rPr>
        <w:t>7</w:t>
      </w:r>
      <w:r>
        <w:rPr>
          <w:b/>
          <w:color w:val="000000" w:themeColor="text1"/>
          <w14:textFill>
            <w14:solidFill>
              <w14:schemeClr w14:val="tx1"/>
            </w14:solidFill>
          </w14:textFill>
        </w:rPr>
        <w:t>.3</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要求</w:t>
      </w:r>
      <w:r>
        <w:rPr>
          <w:color w:val="000000" w:themeColor="text1"/>
          <w14:textFill>
            <w14:solidFill>
              <w14:schemeClr w14:val="tx1"/>
            </w14:solidFill>
          </w14:textFill>
        </w:rPr>
        <w:t>工程总承包项目设计成果交付前的质量检查。发包人对设计成果交付前的质量检查，除对应本款设计质量目标与标准确定、设计过程质量检查、设计质量问题与偏差处置等内容外，强调成果的检查与《发包人要求》逐条对照，体现工程总承包模式“按约验收”的特点，审查的重点也落在功能实现、技术可行性和投资控制，并和前文《经审查的承包人建议书》形成管理闭环。</w:t>
      </w:r>
    </w:p>
    <w:p w14:paraId="145150E4">
      <w:pPr>
        <w:pStyle w:val="4"/>
        <w:rPr>
          <w:color w:val="000000" w:themeColor="text1"/>
          <w14:textFill>
            <w14:solidFill>
              <w14:schemeClr w14:val="tx1"/>
            </w14:solidFill>
          </w14:textFill>
        </w:rPr>
      </w:pPr>
      <w:bookmarkStart w:id="1036" w:name="_Toc1632766596"/>
      <w:bookmarkStart w:id="1037" w:name="_Toc458284783"/>
      <w:bookmarkStart w:id="1038" w:name="_Toc1887758933"/>
      <w:bookmarkStart w:id="1039" w:name="_Toc520552495"/>
      <w:r>
        <w:rPr>
          <w:color w:val="000000" w:themeColor="text1"/>
          <w14:textFill>
            <w14:solidFill>
              <w14:schemeClr w14:val="tx1"/>
            </w14:solidFill>
          </w14:textFill>
        </w:rPr>
        <w:t>9  安全与环境管理</w:t>
      </w:r>
      <w:bookmarkEnd w:id="1036"/>
      <w:bookmarkEnd w:id="1037"/>
      <w:bookmarkEnd w:id="1038"/>
      <w:bookmarkEnd w:id="1039"/>
    </w:p>
    <w:p w14:paraId="0E990084">
      <w:pPr>
        <w:pStyle w:val="5"/>
        <w:rPr>
          <w:color w:val="000000" w:themeColor="text1"/>
          <w14:textFill>
            <w14:solidFill>
              <w14:schemeClr w14:val="tx1"/>
            </w14:solidFill>
          </w14:textFill>
        </w:rPr>
      </w:pPr>
      <w:bookmarkStart w:id="1040" w:name="_Toc366860797"/>
      <w:bookmarkStart w:id="1041" w:name="_Toc1898616323"/>
      <w:bookmarkStart w:id="1042" w:name="_Toc962295151"/>
      <w:bookmarkStart w:id="1043" w:name="_Toc1216480758"/>
      <w:r>
        <w:rPr>
          <w:color w:val="000000" w:themeColor="text1"/>
          <w14:textFill>
            <w14:solidFill>
              <w14:schemeClr w14:val="tx1"/>
            </w14:solidFill>
          </w14:textFill>
        </w:rPr>
        <w:t>9.2  安全生产责任体系建立</w:t>
      </w:r>
      <w:bookmarkEnd w:id="1040"/>
      <w:bookmarkEnd w:id="1041"/>
      <w:bookmarkEnd w:id="1042"/>
      <w:bookmarkEnd w:id="1043"/>
    </w:p>
    <w:p w14:paraId="1EB57895">
      <w:pPr>
        <w:pStyle w:val="39"/>
        <w:rPr>
          <w:color w:val="000000" w:themeColor="text1"/>
          <w14:textFill>
            <w14:solidFill>
              <w14:schemeClr w14:val="tx1"/>
            </w14:solidFill>
          </w14:textFill>
        </w:rPr>
      </w:pPr>
      <w:r>
        <w:rPr>
          <w:b/>
          <w:color w:val="000000" w:themeColor="text1"/>
          <w14:textFill>
            <w14:solidFill>
              <w14:schemeClr w14:val="tx1"/>
            </w14:solidFill>
          </w14:textFill>
        </w:rPr>
        <w:t>9.2.1</w:t>
      </w:r>
      <w:r>
        <w:rPr>
          <w:color w:val="000000" w:themeColor="text1"/>
          <w14:textFill>
            <w14:solidFill>
              <w14:schemeClr w14:val="tx1"/>
            </w14:solidFill>
          </w14:textFill>
        </w:rPr>
        <w:t xml:space="preserve">  安全生产责任体系必须覆盖所有参建单位。发包人（建设单位）对项目安全生产负总责，但具体责任需通过安全生产责任书分解到各承包人。责任书应明确各方的责任区域、责任期限、违规处罚措施，并落实到具体岗位和人员。</w:t>
      </w:r>
    </w:p>
    <w:p w14:paraId="32DFC18C">
      <w:pPr>
        <w:pStyle w:val="5"/>
        <w:rPr>
          <w:color w:val="000000" w:themeColor="text1"/>
          <w14:textFill>
            <w14:solidFill>
              <w14:schemeClr w14:val="tx1"/>
            </w14:solidFill>
          </w14:textFill>
        </w:rPr>
      </w:pPr>
      <w:bookmarkStart w:id="1044" w:name="_Toc969405444"/>
      <w:bookmarkStart w:id="1045" w:name="_Toc728805887"/>
      <w:bookmarkStart w:id="1046" w:name="_Toc463798658"/>
      <w:bookmarkStart w:id="1047" w:name="_Toc2086169549"/>
      <w:r>
        <w:rPr>
          <w:color w:val="000000" w:themeColor="text1"/>
          <w14:textFill>
            <w14:solidFill>
              <w14:schemeClr w14:val="tx1"/>
            </w14:solidFill>
          </w14:textFill>
        </w:rPr>
        <w:t>9.4  安全隐患识别与整改闭环</w:t>
      </w:r>
      <w:bookmarkEnd w:id="1044"/>
      <w:bookmarkEnd w:id="1045"/>
      <w:bookmarkEnd w:id="1046"/>
      <w:bookmarkEnd w:id="1047"/>
    </w:p>
    <w:p w14:paraId="4D10F465">
      <w:pPr>
        <w:pStyle w:val="39"/>
        <w:rPr>
          <w:color w:val="000000" w:themeColor="text1"/>
          <w14:textFill>
            <w14:solidFill>
              <w14:schemeClr w14:val="tx1"/>
            </w14:solidFill>
          </w14:textFill>
        </w:rPr>
      </w:pPr>
      <w:r>
        <w:rPr>
          <w:b/>
          <w:color w:val="000000" w:themeColor="text1"/>
          <w14:textFill>
            <w14:solidFill>
              <w14:schemeClr w14:val="tx1"/>
            </w14:solidFill>
          </w14:textFill>
        </w:rPr>
        <w:t>9.4.1-9.4.3</w:t>
      </w:r>
      <w:r>
        <w:rPr>
          <w:color w:val="000000" w:themeColor="text1"/>
          <w14:textFill>
            <w14:solidFill>
              <w14:schemeClr w14:val="tx1"/>
            </w14:solidFill>
          </w14:textFill>
        </w:rPr>
        <w:t xml:space="preserve">  安全隐患的整改闭环是安全管理的核心。本条将隐患分为“一般”和“重大”两级，分别设定处置程序。对于重大隐患，必须“停工整改”，这是对《安全生产法》相关要求的细化。发包人应建立隐患整改台账，实行“销号管理”，未整改到位的一律不得复工。</w:t>
      </w:r>
    </w:p>
    <w:p w14:paraId="1E7CAD0C">
      <w:pPr>
        <w:pStyle w:val="5"/>
        <w:rPr>
          <w:color w:val="000000" w:themeColor="text1"/>
          <w14:textFill>
            <w14:solidFill>
              <w14:schemeClr w14:val="tx1"/>
            </w14:solidFill>
          </w14:textFill>
        </w:rPr>
      </w:pPr>
      <w:bookmarkStart w:id="1048" w:name="_Toc1132073226"/>
      <w:bookmarkStart w:id="1049" w:name="_Toc41315017"/>
      <w:bookmarkStart w:id="1050" w:name="_Toc1779022323"/>
      <w:bookmarkStart w:id="1051" w:name="_Toc518993067"/>
      <w:r>
        <w:rPr>
          <w:color w:val="000000" w:themeColor="text1"/>
          <w14:textFill>
            <w14:solidFill>
              <w14:schemeClr w14:val="tx1"/>
            </w14:solidFill>
          </w14:textFill>
        </w:rPr>
        <w:t>9.6  环境管理</w:t>
      </w:r>
      <w:bookmarkEnd w:id="1048"/>
      <w:bookmarkEnd w:id="1049"/>
      <w:bookmarkEnd w:id="1050"/>
      <w:bookmarkEnd w:id="1051"/>
    </w:p>
    <w:p w14:paraId="30075D7B">
      <w:pPr>
        <w:pStyle w:val="39"/>
        <w:rPr>
          <w:color w:val="000000" w:themeColor="text1"/>
          <w14:textFill>
            <w14:solidFill>
              <w14:schemeClr w14:val="tx1"/>
            </w14:solidFill>
          </w14:textFill>
        </w:rPr>
      </w:pPr>
      <w:r>
        <w:rPr>
          <w:b/>
          <w:color w:val="000000" w:themeColor="text1"/>
          <w14:textFill>
            <w14:solidFill>
              <w14:schemeClr w14:val="tx1"/>
            </w14:solidFill>
          </w14:textFill>
        </w:rPr>
        <w:t>9.6.1</w:t>
      </w:r>
      <w:r>
        <w:rPr>
          <w:color w:val="000000" w:themeColor="text1"/>
          <w14:textFill>
            <w14:solidFill>
              <w14:schemeClr w14:val="tx1"/>
            </w14:solidFill>
          </w14:textFill>
        </w:rPr>
        <w:t xml:space="preserve">  环境管理是绿色施工的要求，也是法律法规的强制性规定。发包人应督促承包人制定扬尘、噪声、污水、固废等污染防治方案，并安装在线监测设备。对于市政工程，还应特别关注地下管线保护、交通疏导等环境相关事项。</w:t>
      </w:r>
    </w:p>
    <w:p w14:paraId="259A1366">
      <w:pPr>
        <w:pStyle w:val="4"/>
        <w:rPr>
          <w:color w:val="000000" w:themeColor="text1"/>
          <w14:textFill>
            <w14:solidFill>
              <w14:schemeClr w14:val="tx1"/>
            </w14:solidFill>
          </w14:textFill>
        </w:rPr>
      </w:pPr>
      <w:bookmarkStart w:id="1052" w:name="_Toc568512924"/>
      <w:bookmarkStart w:id="1053" w:name="_Toc1750341916"/>
      <w:bookmarkStart w:id="1054" w:name="_Toc171318394"/>
      <w:bookmarkStart w:id="1055" w:name="_Toc1143203669"/>
      <w:r>
        <w:rPr>
          <w:color w:val="000000" w:themeColor="text1"/>
          <w14:textFill>
            <w14:solidFill>
              <w14:schemeClr w14:val="tx1"/>
            </w14:solidFill>
          </w14:textFill>
        </w:rPr>
        <w:t>10  费用与支付管理</w:t>
      </w:r>
      <w:bookmarkEnd w:id="1052"/>
      <w:bookmarkEnd w:id="1053"/>
      <w:bookmarkEnd w:id="1054"/>
      <w:bookmarkEnd w:id="1055"/>
    </w:p>
    <w:p w14:paraId="22E6F01F">
      <w:pPr>
        <w:pStyle w:val="5"/>
        <w:rPr>
          <w:color w:val="000000" w:themeColor="text1"/>
          <w14:textFill>
            <w14:solidFill>
              <w14:schemeClr w14:val="tx1"/>
            </w14:solidFill>
          </w14:textFill>
        </w:rPr>
      </w:pPr>
      <w:bookmarkStart w:id="1056" w:name="_Toc356277795"/>
      <w:bookmarkStart w:id="1057" w:name="_Toc517269337"/>
      <w:bookmarkStart w:id="1058" w:name="_Toc1256840968"/>
      <w:bookmarkStart w:id="1059" w:name="_Toc1587915676"/>
      <w:r>
        <w:rPr>
          <w:color w:val="000000" w:themeColor="text1"/>
          <w14:textFill>
            <w14:solidFill>
              <w14:schemeClr w14:val="tx1"/>
            </w14:solidFill>
          </w14:textFill>
        </w:rPr>
        <w:t>10.1  一般规定</w:t>
      </w:r>
      <w:bookmarkEnd w:id="1056"/>
      <w:bookmarkEnd w:id="1057"/>
      <w:bookmarkEnd w:id="1058"/>
      <w:bookmarkEnd w:id="1059"/>
    </w:p>
    <w:p w14:paraId="1096945B">
      <w:pPr>
        <w:pStyle w:val="39"/>
        <w:rPr>
          <w:color w:val="000000" w:themeColor="text1"/>
          <w14:textFill>
            <w14:solidFill>
              <w14:schemeClr w14:val="tx1"/>
            </w14:solidFill>
          </w14:textFill>
        </w:rPr>
      </w:pPr>
      <w:r>
        <w:rPr>
          <w:b/>
          <w:color w:val="000000" w:themeColor="text1"/>
          <w14:textFill>
            <w14:solidFill>
              <w14:schemeClr w14:val="tx1"/>
            </w14:solidFill>
          </w14:textFill>
        </w:rPr>
        <w:t>10.1.2</w:t>
      </w:r>
      <w:r>
        <w:rPr>
          <w:color w:val="000000" w:themeColor="text1"/>
          <w14:textFill>
            <w14:solidFill>
              <w14:schemeClr w14:val="tx1"/>
            </w14:solidFill>
          </w14:textFill>
        </w:rPr>
        <w:t xml:space="preserve">  发包人及时支付是合同履行的基本义务。实践中，部分发包人以内部审计为名长期拖延支付，导致承包人资金链紧张，进而影响工程进度和质量。本条规定“不得无故拖延或拒付”，旨在平衡双方权益。发包人应建立健全内部支付审批流程，并在合同约定的期限内完成支付。</w:t>
      </w:r>
    </w:p>
    <w:p w14:paraId="7BC61848">
      <w:pPr>
        <w:pStyle w:val="5"/>
        <w:rPr>
          <w:color w:val="000000" w:themeColor="text1"/>
          <w14:textFill>
            <w14:solidFill>
              <w14:schemeClr w14:val="tx1"/>
            </w14:solidFill>
          </w14:textFill>
        </w:rPr>
      </w:pPr>
      <w:bookmarkStart w:id="1060" w:name="_Toc1331830179"/>
      <w:r>
        <w:rPr>
          <w:color w:val="000000" w:themeColor="text1"/>
          <w14:textFill>
            <w14:solidFill>
              <w14:schemeClr w14:val="tx1"/>
            </w14:solidFill>
          </w14:textFill>
        </w:rPr>
        <w:t>10.3  支付审核</w:t>
      </w:r>
      <w:bookmarkEnd w:id="1060"/>
    </w:p>
    <w:p w14:paraId="799E8F51">
      <w:pPr>
        <w:pStyle w:val="39"/>
        <w:rPr>
          <w:color w:val="000000" w:themeColor="text1"/>
          <w14:textFill>
            <w14:solidFill>
              <w14:schemeClr w14:val="tx1"/>
            </w14:solidFill>
          </w14:textFill>
        </w:rPr>
      </w:pPr>
      <w:r>
        <w:rPr>
          <w:b/>
          <w:color w:val="000000" w:themeColor="text1"/>
          <w14:textFill>
            <w14:solidFill>
              <w14:schemeClr w14:val="tx1"/>
            </w14:solidFill>
          </w14:textFill>
        </w:rPr>
        <w:t>10.3.</w:t>
      </w:r>
      <w:r>
        <w:rPr>
          <w:rFonts w:hint="eastAsia"/>
          <w:b/>
          <w:color w:val="000000" w:themeColor="text1"/>
          <w14:textFill>
            <w14:solidFill>
              <w14:schemeClr w14:val="tx1"/>
            </w14:solidFill>
          </w14:textFill>
        </w:rPr>
        <w:t>4</w:t>
      </w:r>
      <w:r>
        <w:rPr>
          <w:b/>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w:t>
      </w:r>
      <w:r>
        <w:rPr>
          <w:color w:val="000000" w:themeColor="text1"/>
          <w14:textFill>
            <w14:solidFill>
              <w14:schemeClr w14:val="tx1"/>
            </w14:solidFill>
          </w14:textFill>
        </w:rPr>
        <w:t>发包人审核进度款支付时的审核要求。发包人应审核工程量确认单、质量验收记录、变更签证及其他合同约定的支持性文件，并对现场实际进度与申报进度的一致性进行核查。该要求针对市场普遍存在的“先施工后签证”“签证依据不扎实，缺乏详细的技术核定单、影像资料、工程量计算底稿等支撑文件”等突出问题。合同可约定签证支撑文件不齐全的，发包人有权退回要求承包人补充，丧失过程控制时效性的，责任由承包人承担等责任条款。</w:t>
      </w:r>
    </w:p>
    <w:p w14:paraId="52ED1EB8">
      <w:pPr>
        <w:pStyle w:val="5"/>
        <w:rPr>
          <w:color w:val="000000" w:themeColor="text1"/>
          <w14:textFill>
            <w14:solidFill>
              <w14:schemeClr w14:val="tx1"/>
            </w14:solidFill>
          </w14:textFill>
        </w:rPr>
      </w:pPr>
      <w:bookmarkStart w:id="1061" w:name="_Toc1038531902"/>
      <w:r>
        <w:rPr>
          <w:color w:val="000000" w:themeColor="text1"/>
          <w14:textFill>
            <w14:solidFill>
              <w14:schemeClr w14:val="tx1"/>
            </w14:solidFill>
          </w14:textFill>
        </w:rPr>
        <w:t>10.4  合同变更管理</w:t>
      </w:r>
      <w:bookmarkEnd w:id="1061"/>
    </w:p>
    <w:p w14:paraId="6DC06244">
      <w:pPr>
        <w:pStyle w:val="39"/>
        <w:rPr>
          <w:color w:val="000000" w:themeColor="text1"/>
          <w14:textFill>
            <w14:solidFill>
              <w14:schemeClr w14:val="tx1"/>
            </w14:solidFill>
          </w14:textFill>
        </w:rPr>
      </w:pPr>
      <w:r>
        <w:rPr>
          <w:b/>
          <w:color w:val="000000" w:themeColor="text1"/>
          <w14:textFill>
            <w14:solidFill>
              <w14:schemeClr w14:val="tx1"/>
            </w14:solidFill>
          </w14:textFill>
        </w:rPr>
        <w:t>10.4.4</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w:t>
      </w:r>
      <w:r>
        <w:rPr>
          <w:color w:val="000000" w:themeColor="text1"/>
          <w14:textFill>
            <w14:solidFill>
              <w14:schemeClr w14:val="tx1"/>
            </w14:solidFill>
          </w14:textFill>
        </w:rPr>
        <w:t>重大变更的识别及审核要求，依据《招标人主体责任履行指引》（发改法规〔2025〕1358号）第三十二条制定。累计变更金额过大或分包范围超出合同约定，可能影响招标投标的公平竞争基础和合同实质性条款，发包人此时负有审慎审查的义务。两个10%标准分别适用于合同金额变更和分包金额变更，是启动全面审核的程序触发标准。全面审核应围绕变更的必要性、合规性、风险评估和合同依据展开，合同约定的价格调整机制导致的正常合同金额变化不宜纳入计算基数。经审核认为变更确实必要且合规的，发包人应按合同约定的变更程序批准实施并保存完整记录。</w:t>
      </w:r>
    </w:p>
    <w:p w14:paraId="0886BA5A">
      <w:pPr>
        <w:pStyle w:val="39"/>
        <w:rPr>
          <w:color w:val="000000" w:themeColor="text1"/>
          <w14:textFill>
            <w14:solidFill>
              <w14:schemeClr w14:val="tx1"/>
            </w14:solidFill>
          </w14:textFill>
        </w:rPr>
      </w:pPr>
      <w:r>
        <w:rPr>
          <w:b/>
          <w:bCs/>
          <w:color w:val="000000" w:themeColor="text1"/>
          <w14:textFill>
            <w14:solidFill>
              <w14:schemeClr w14:val="tx1"/>
            </w14:solidFill>
          </w14:textFill>
        </w:rPr>
        <w:t>10.4.</w:t>
      </w:r>
      <w:r>
        <w:rPr>
          <w:rFonts w:hint="eastAsia"/>
          <w:b/>
          <w:bCs/>
          <w:color w:val="000000" w:themeColor="text1"/>
          <w14:textFill>
            <w14:solidFill>
              <w14:schemeClr w14:val="tx1"/>
            </w14:solidFill>
          </w14:textFill>
        </w:rPr>
        <w:t>5</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w:t>
      </w:r>
      <w:r>
        <w:rPr>
          <w:color w:val="000000" w:themeColor="text1"/>
          <w14:textFill>
            <w14:solidFill>
              <w14:schemeClr w14:val="tx1"/>
            </w14:solidFill>
          </w14:textFill>
        </w:rPr>
        <w:t>施工</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应建立工程变更管理制度，补充合同可能发生的变更类型。变更应经发包人书面批准后方可实施，坚持“先审批、后实施”原则，避免“先干后补”的被动局面。市场普遍存在的“无价材料定价难、主材及人工动态调整争议大”等问题，均与变更管理制度不健全直接相关，发包人应在制度中明确无价材料定价的审批程序、计价规则和组价依据。</w:t>
      </w:r>
    </w:p>
    <w:p w14:paraId="33A7B4AF">
      <w:pPr>
        <w:rPr>
          <w:rFonts w:hint="eastAsia" w:ascii="Times New Roman" w:hAnsi="Times New Roman" w:eastAsia="宋体"/>
          <w:color w:val="000000" w:themeColor="text1"/>
          <w:sz w:val="21"/>
          <w:szCs w:val="21"/>
          <w:lang w:val="en-US" w:eastAsia="zh-CN"/>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10.4.</w:t>
      </w:r>
      <w:r>
        <w:rPr>
          <w:rFonts w:hint="eastAsia" w:ascii="Times New Roman" w:hAnsi="Times New Roman"/>
          <w:b/>
          <w:bCs/>
          <w:color w:val="000000" w:themeColor="text1"/>
          <w:sz w:val="21"/>
          <w:szCs w:val="21"/>
          <w14:textFill>
            <w14:solidFill>
              <w14:schemeClr w14:val="tx1"/>
            </w14:solidFill>
          </w14:textFill>
        </w:rPr>
        <w:t>6</w:t>
      </w:r>
      <w:r>
        <w:rPr>
          <w:rFonts w:hint="eastAsia" w:ascii="Times New Roman" w:hAnsi="Times New Roman"/>
          <w:color w:val="000000" w:themeColor="text1"/>
          <w:sz w:val="21"/>
          <w:szCs w:val="21"/>
          <w14:textFill>
            <w14:solidFill>
              <w14:schemeClr w14:val="tx1"/>
            </w14:solidFill>
          </w14:textFill>
        </w:rPr>
        <w:t xml:space="preserve"> </w:t>
      </w:r>
      <w:r>
        <w:rPr>
          <w:rFonts w:hint="default" w:ascii="Times New Roman" w:hAnsi="Times New Roman"/>
          <w:color w:val="000000" w:themeColor="text1"/>
          <w:sz w:val="21"/>
          <w:szCs w:val="21"/>
          <w:lang w:val="en-US"/>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本条</w:t>
      </w:r>
      <w:r>
        <w:rPr>
          <w:rFonts w:hint="eastAsia" w:ascii="Times New Roman" w:hAnsi="Times New Roman"/>
          <w:color w:val="000000" w:themeColor="text1"/>
          <w:sz w:val="21"/>
          <w:szCs w:val="21"/>
          <w14:textFill>
            <w14:solidFill>
              <w14:schemeClr w14:val="tx1"/>
            </w14:solidFill>
          </w14:textFill>
        </w:rPr>
        <w:t>提出</w:t>
      </w:r>
      <w:r>
        <w:rPr>
          <w:rFonts w:ascii="Times New Roman" w:hAnsi="Times New Roman"/>
          <w:color w:val="000000" w:themeColor="text1"/>
          <w:sz w:val="21"/>
          <w:szCs w:val="21"/>
          <w14:textFill>
            <w14:solidFill>
              <w14:schemeClr w14:val="tx1"/>
            </w14:solidFill>
          </w14:textFill>
        </w:rPr>
        <w:t>工程总承包项目发包人应比对经审查的承包人建议书，对工程实施过程中的书面变更申请进行识别</w:t>
      </w:r>
      <w:r>
        <w:rPr>
          <w:rFonts w:hint="eastAsia" w:ascii="Times New Roman" w:hAnsi="Times New Roman"/>
          <w:color w:val="000000" w:themeColor="text1"/>
          <w:sz w:val="21"/>
          <w:szCs w:val="21"/>
          <w14:textFill>
            <w14:solidFill>
              <w14:schemeClr w14:val="tx1"/>
            </w14:solidFill>
          </w14:textFill>
        </w:rPr>
        <w:t>，区分</w:t>
      </w:r>
      <w:r>
        <w:rPr>
          <w:rFonts w:ascii="Times New Roman" w:hAnsi="Times New Roman"/>
          <w:color w:val="000000" w:themeColor="text1"/>
          <w:sz w:val="21"/>
          <w:szCs w:val="21"/>
          <w14:textFill>
            <w14:solidFill>
              <w14:schemeClr w14:val="tx1"/>
            </w14:solidFill>
          </w14:textFill>
        </w:rPr>
        <w:t>变更</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优化设计</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深化设计</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设计优化</w:t>
      </w:r>
      <w:r>
        <w:rPr>
          <w:rFonts w:hint="eastAsia" w:ascii="Times New Roman" w:hAnsi="Times New Roman"/>
          <w:color w:val="000000" w:themeColor="text1"/>
          <w:sz w:val="21"/>
          <w:szCs w:val="21"/>
          <w14:textFill>
            <w14:solidFill>
              <w14:schemeClr w14:val="tx1"/>
            </w14:solidFill>
          </w14:textFill>
        </w:rPr>
        <w:t>的不同情形</w:t>
      </w:r>
      <w:r>
        <w:rPr>
          <w:rFonts w:hint="eastAsia" w:ascii="Times New Roman" w:hAnsi="Times New Roman"/>
          <w:color w:val="000000" w:themeColor="text1"/>
          <w:sz w:val="21"/>
          <w:szCs w:val="21"/>
          <w:lang w:eastAsia="zh-CN"/>
          <w14:textFill>
            <w14:solidFill>
              <w14:schemeClr w14:val="tx1"/>
            </w14:solidFill>
          </w14:textFill>
        </w:rPr>
        <w:t>：</w:t>
      </w:r>
    </w:p>
    <w:p w14:paraId="43CB7AEF">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变更：发包人提出，或承包人的合理化建议，经发包人同意并给予变更指示、签认的，费用与支付按合同约定的变更估价和支付条款执行。</w:t>
      </w:r>
    </w:p>
    <w:p w14:paraId="70380919">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2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优化设计：承包人从满足发包人要求的众多设计方案中选择最佳设计方案的设计方法。</w:t>
      </w:r>
    </w:p>
    <w:p w14:paraId="30C201F6">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3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深化设计：承包人对发包人提供的设计文件进行细化、补充和完善，以及对承包人文件存在的错误、遗漏、含混、矛盾、不充分之处或其他缺陷进行改正，满足设计的可施工性的要求。</w:t>
      </w:r>
    </w:p>
    <w:p w14:paraId="1DD21A34">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4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设计优化：承包人对发包人提供的设计文件进行改善与提高，并从成本的角度对原设计进行排查，剔除其中虚高、无用、不安全等不合理成本的加工。</w:t>
      </w:r>
    </w:p>
    <w:p w14:paraId="2043FC95">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对于政府有关部门或第三方审查单位的审查意见，不需要修改《发包人要求》的，承包人需自行按该审查意见修改承包人的设计文件，不属于变更；需要修改《发包人要求》的，按合同约定的"承包人的合理化建议"和"变更与调整"执行。</w:t>
      </w:r>
    </w:p>
    <w:p w14:paraId="6B3DA2BD">
      <w:pP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10.4.</w:t>
      </w:r>
      <w:r>
        <w:rPr>
          <w:rFonts w:hint="eastAsia" w:ascii="Times New Roman" w:hAnsi="Times New Roman"/>
          <w:color w:val="000000" w:themeColor="text1"/>
          <w:sz w:val="21"/>
          <w:szCs w:val="21"/>
          <w14:textFill>
            <w14:solidFill>
              <w14:schemeClr w14:val="tx1"/>
            </w14:solidFill>
          </w14:textFill>
        </w:rPr>
        <w:t xml:space="preserve">7 </w:t>
      </w:r>
      <w:r>
        <w:rPr>
          <w:rFonts w:ascii="Times New Roman" w:hAnsi="Times New Roman"/>
          <w:color w:val="000000" w:themeColor="text1"/>
          <w:sz w:val="21"/>
          <w:szCs w:val="21"/>
          <w14:textFill>
            <w14:solidFill>
              <w14:schemeClr w14:val="tx1"/>
            </w14:solidFill>
          </w14:textFill>
        </w:rPr>
        <w:t>本条</w:t>
      </w:r>
      <w:r>
        <w:rPr>
          <w:rFonts w:hint="eastAsia" w:ascii="Times New Roman" w:hAnsi="Times New Roman"/>
          <w:color w:val="000000" w:themeColor="text1"/>
          <w:sz w:val="21"/>
          <w:szCs w:val="21"/>
          <w14:textFill>
            <w14:solidFill>
              <w14:schemeClr w14:val="tx1"/>
            </w14:solidFill>
          </w14:textFill>
        </w:rPr>
        <w:t>提出</w:t>
      </w:r>
      <w:r>
        <w:rPr>
          <w:rFonts w:ascii="Times New Roman" w:hAnsi="Times New Roman"/>
          <w:color w:val="000000" w:themeColor="text1"/>
          <w:sz w:val="21"/>
          <w:szCs w:val="21"/>
          <w14:textFill>
            <w14:solidFill>
              <w14:schemeClr w14:val="tx1"/>
            </w14:solidFill>
          </w14:textFill>
        </w:rPr>
        <w:t>工程总承包项目变更可能对设计、采购、施工产生连锁影响，发包人应要求承包人在变更建议中全面评估</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w:t>
      </w:r>
    </w:p>
    <w:p w14:paraId="369918DC">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 xml:space="preserve"> 对已采购设备材料的影响（是否需更换、退货）；</w:t>
      </w:r>
      <w:r>
        <w:rPr>
          <w:rFonts w:hint="eastAsia" w:ascii="Times New Roman" w:hAnsi="Times New Roman"/>
          <w:color w:val="000000" w:themeColor="text1"/>
          <w:sz w:val="21"/>
          <w:szCs w:val="21"/>
          <w14:textFill>
            <w14:solidFill>
              <w14:schemeClr w14:val="tx1"/>
            </w14:solidFill>
          </w14:textFill>
        </w:rPr>
        <w:t xml:space="preserve">  </w:t>
      </w:r>
    </w:p>
    <w:p w14:paraId="2A5B6E7D">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2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对已完工程的影响（是否需要返工）；</w:t>
      </w:r>
    </w:p>
    <w:p w14:paraId="10AA7E97">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3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对施工进度的影响（关键线路是否延误）；</w:t>
      </w:r>
    </w:p>
    <w:p w14:paraId="77C71DC6">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4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对费用的综合影响（直接费用和间接费用）。</w:t>
      </w:r>
    </w:p>
    <w:p w14:paraId="2CCE3A9A">
      <w:pP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10.4.7</w:t>
      </w:r>
      <w:r>
        <w:rPr>
          <w:rFonts w:hint="eastAsia" w:ascii="Times New Roman" w:hAnsi="Times New Roman"/>
          <w:b/>
          <w:bCs/>
          <w:color w:val="000000" w:themeColor="text1"/>
          <w:sz w:val="21"/>
          <w:szCs w:val="21"/>
          <w:lang w:val="en-US" w:eastAsia="zh-CN"/>
          <w14:textFill>
            <w14:solidFill>
              <w14:schemeClr w14:val="tx1"/>
            </w14:solidFill>
          </w14:textFill>
        </w:rPr>
        <w:t xml:space="preserve">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本条</w:t>
      </w:r>
      <w:r>
        <w:rPr>
          <w:rFonts w:hint="eastAsia" w:ascii="Times New Roman" w:hAnsi="Times New Roman"/>
          <w:color w:val="000000" w:themeColor="text1"/>
          <w:sz w:val="21"/>
          <w:szCs w:val="21"/>
          <w14:textFill>
            <w14:solidFill>
              <w14:schemeClr w14:val="tx1"/>
            </w14:solidFill>
          </w14:textFill>
        </w:rPr>
        <w:t>提出</w:t>
      </w:r>
      <w:r>
        <w:rPr>
          <w:rFonts w:ascii="Times New Roman" w:hAnsi="Times New Roman"/>
          <w:color w:val="000000" w:themeColor="text1"/>
          <w:sz w:val="21"/>
          <w:szCs w:val="21"/>
          <w14:textFill>
            <w14:solidFill>
              <w14:schemeClr w14:val="tx1"/>
            </w14:solidFill>
          </w14:textFill>
        </w:rPr>
        <w:t>工程总承包项目发包人对《发包人要求》的变更，应评估变更对设计、采购、施工、工期、费用的影响</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协商确定变更费用和工期调整</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按以下程序处理：</w:t>
      </w:r>
    </w:p>
    <w:p w14:paraId="7EAB0194">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1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发包人应书面提出变更需求，明确变更的内容和原因；</w:t>
      </w:r>
    </w:p>
    <w:p w14:paraId="01689097">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2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承包人评估变更对设计、采购、施工、工期、费用的影响；</w:t>
      </w:r>
    </w:p>
    <w:p w14:paraId="237FB438">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3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双方协商确定变更费用和工期调整；</w:t>
      </w:r>
    </w:p>
    <w:p w14:paraId="75318722">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4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按发包人发出变更指令或按合同约定执行；</w:t>
      </w:r>
    </w:p>
    <w:p w14:paraId="081A10F0">
      <w:pPr>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5 </w:t>
      </w:r>
      <w:r>
        <w:rPr>
          <w:rFonts w:hint="eastAsia" w:ascii="Times New Roman" w:hAnsi="Times New Roman"/>
          <w:color w:val="000000" w:themeColor="text1"/>
          <w:sz w:val="21"/>
          <w:szCs w:val="21"/>
          <w:lang w:val="en-US" w:eastAsia="zh-CN"/>
          <w14:textFill>
            <w14:solidFill>
              <w14:schemeClr w14:val="tx1"/>
            </w14:solidFill>
          </w14:textFill>
        </w:rPr>
        <w:t xml:space="preserve"> </w:t>
      </w:r>
      <w:r>
        <w:rPr>
          <w:rFonts w:ascii="Times New Roman" w:hAnsi="Times New Roman"/>
          <w:color w:val="000000" w:themeColor="text1"/>
          <w:sz w:val="21"/>
          <w:szCs w:val="21"/>
          <w14:textFill>
            <w14:solidFill>
              <w14:schemeClr w14:val="tx1"/>
            </w14:solidFill>
          </w14:textFill>
        </w:rPr>
        <w:t>变更后的《发包人要求》应作为合同附件归档。</w:t>
      </w:r>
    </w:p>
    <w:p w14:paraId="6B088081">
      <w:pPr>
        <w:pStyle w:val="39"/>
        <w:rPr>
          <w:color w:val="000000" w:themeColor="text1"/>
          <w14:textFill>
            <w14:solidFill>
              <w14:schemeClr w14:val="tx1"/>
            </w14:solidFill>
          </w14:textFill>
        </w:rPr>
      </w:pPr>
    </w:p>
    <w:p w14:paraId="4036D358">
      <w:pPr>
        <w:pStyle w:val="5"/>
        <w:rPr>
          <w:color w:val="000000" w:themeColor="text1"/>
          <w14:textFill>
            <w14:solidFill>
              <w14:schemeClr w14:val="tx1"/>
            </w14:solidFill>
          </w14:textFill>
        </w:rPr>
      </w:pPr>
      <w:bookmarkStart w:id="1062" w:name="_Toc1311635603"/>
      <w:bookmarkStart w:id="1063" w:name="_Toc1878580715"/>
      <w:bookmarkStart w:id="1064" w:name="_Toc636772205"/>
      <w:bookmarkStart w:id="1065" w:name="_Toc1728933227"/>
      <w:r>
        <w:rPr>
          <w:color w:val="000000" w:themeColor="text1"/>
          <w14:textFill>
            <w14:solidFill>
              <w14:schemeClr w14:val="tx1"/>
            </w14:solidFill>
          </w14:textFill>
        </w:rPr>
        <w:t>10.7  结算管理</w:t>
      </w:r>
      <w:bookmarkEnd w:id="1062"/>
      <w:bookmarkEnd w:id="1063"/>
      <w:bookmarkEnd w:id="1064"/>
      <w:bookmarkEnd w:id="1065"/>
    </w:p>
    <w:p w14:paraId="1256A1D3">
      <w:pPr>
        <w:pStyle w:val="39"/>
        <w:rPr>
          <w:color w:val="000000" w:themeColor="text1"/>
          <w14:textFill>
            <w14:solidFill>
              <w14:schemeClr w14:val="tx1"/>
            </w14:solidFill>
          </w14:textFill>
        </w:rPr>
      </w:pPr>
      <w:r>
        <w:rPr>
          <w:b/>
          <w:color w:val="000000" w:themeColor="text1"/>
          <w14:textFill>
            <w14:solidFill>
              <w14:schemeClr w14:val="tx1"/>
            </w14:solidFill>
          </w14:textFill>
        </w:rPr>
        <w:t>10.7.2</w:t>
      </w:r>
      <w:r>
        <w:rPr>
          <w:color w:val="000000" w:themeColor="text1"/>
          <w14:textFill>
            <w14:solidFill>
              <w14:schemeClr w14:val="tx1"/>
            </w14:solidFill>
          </w14:textFill>
        </w:rPr>
        <w:t xml:space="preserve">  结算审核必须以履约验收报告为依据。这是本标准的核心理念之一。履约验收报告中列明的违约金、赔偿金等应扣款项，结算时直接扣除，无需再另行协商。这大大简化了结算程序，强化了履约过程管理的严肃性。</w:t>
      </w:r>
    </w:p>
    <w:p w14:paraId="46FEBF17">
      <w:pPr>
        <w:pStyle w:val="5"/>
        <w:rPr>
          <w:color w:val="000000" w:themeColor="text1"/>
          <w14:textFill>
            <w14:solidFill>
              <w14:schemeClr w14:val="tx1"/>
            </w14:solidFill>
          </w14:textFill>
        </w:rPr>
      </w:pPr>
      <w:bookmarkStart w:id="1066" w:name="_Toc2126420747"/>
      <w:bookmarkStart w:id="1067" w:name="_Toc319586950"/>
      <w:bookmarkStart w:id="1068" w:name="_Toc1992331551"/>
      <w:bookmarkStart w:id="1069" w:name="_Toc306718543"/>
      <w:r>
        <w:rPr>
          <w:color w:val="000000" w:themeColor="text1"/>
          <w14:textFill>
            <w14:solidFill>
              <w14:schemeClr w14:val="tx1"/>
            </w14:solidFill>
          </w14:textFill>
        </w:rPr>
        <w:t>10.8  违约金与保证金管理</w:t>
      </w:r>
      <w:bookmarkEnd w:id="1066"/>
      <w:bookmarkEnd w:id="1067"/>
      <w:bookmarkEnd w:id="1068"/>
      <w:bookmarkEnd w:id="1069"/>
    </w:p>
    <w:p w14:paraId="35F5AEE5">
      <w:pPr>
        <w:pStyle w:val="39"/>
        <w:rPr>
          <w:color w:val="000000" w:themeColor="text1"/>
          <w14:textFill>
            <w14:solidFill>
              <w14:schemeClr w14:val="tx1"/>
            </w14:solidFill>
          </w14:textFill>
        </w:rPr>
      </w:pPr>
      <w:r>
        <w:rPr>
          <w:b/>
          <w:color w:val="000000" w:themeColor="text1"/>
          <w14:textFill>
            <w14:solidFill>
              <w14:schemeClr w14:val="tx1"/>
            </w14:solidFill>
          </w14:textFill>
        </w:rPr>
        <w:t>10.8.2</w:t>
      </w:r>
      <w:r>
        <w:rPr>
          <w:color w:val="000000" w:themeColor="text1"/>
          <w14:textFill>
            <w14:solidFill>
              <w14:schemeClr w14:val="tx1"/>
            </w14:solidFill>
          </w14:textFill>
        </w:rPr>
        <w:t xml:space="preserve">  本条明确了违约金扣除的操作路径。将违约金与“应付款项”“履约保证金”直接挂钩，是国际工程管理的通行做法，也是国内法律法规所支持的。它为发包人提供了高效、低成本的违约处置手段，避免了对每一个违约行为都必须另行起诉的司法资源浪费，增强了合同管理的约束力。</w:t>
      </w:r>
    </w:p>
    <w:p w14:paraId="2D43635B">
      <w:pPr>
        <w:pStyle w:val="4"/>
        <w:rPr>
          <w:color w:val="000000" w:themeColor="text1"/>
          <w14:textFill>
            <w14:solidFill>
              <w14:schemeClr w14:val="tx1"/>
            </w14:solidFill>
          </w14:textFill>
        </w:rPr>
      </w:pPr>
      <w:bookmarkStart w:id="1070" w:name="_Toc1071334343"/>
      <w:bookmarkStart w:id="1071" w:name="_Toc1006848632"/>
      <w:bookmarkStart w:id="1072" w:name="_Toc1886819181"/>
      <w:bookmarkStart w:id="1073" w:name="_Toc912581421"/>
      <w:r>
        <w:rPr>
          <w:color w:val="000000" w:themeColor="text1"/>
          <w14:textFill>
            <w14:solidFill>
              <w14:schemeClr w14:val="tx1"/>
            </w14:solidFill>
          </w14:textFill>
        </w:rPr>
        <w:t>11  履约验收管理</w:t>
      </w:r>
      <w:bookmarkEnd w:id="1070"/>
      <w:bookmarkEnd w:id="1071"/>
      <w:bookmarkEnd w:id="1072"/>
      <w:bookmarkEnd w:id="1073"/>
    </w:p>
    <w:p w14:paraId="0D475D93">
      <w:pPr>
        <w:pStyle w:val="5"/>
        <w:rPr>
          <w:color w:val="000000" w:themeColor="text1"/>
          <w14:textFill>
            <w14:solidFill>
              <w14:schemeClr w14:val="tx1"/>
            </w14:solidFill>
          </w14:textFill>
        </w:rPr>
      </w:pPr>
      <w:bookmarkStart w:id="1074" w:name="_Toc764487536"/>
      <w:bookmarkStart w:id="1075" w:name="_Toc1060227833"/>
      <w:bookmarkStart w:id="1076" w:name="_Toc285798374"/>
      <w:bookmarkStart w:id="1077" w:name="_Toc1394099910"/>
      <w:r>
        <w:rPr>
          <w:color w:val="000000" w:themeColor="text1"/>
          <w14:textFill>
            <w14:solidFill>
              <w14:schemeClr w14:val="tx1"/>
            </w14:solidFill>
          </w14:textFill>
        </w:rPr>
        <w:t>11.1  一般规定</w:t>
      </w:r>
      <w:bookmarkEnd w:id="1074"/>
      <w:bookmarkEnd w:id="1075"/>
      <w:bookmarkEnd w:id="1076"/>
      <w:bookmarkEnd w:id="1077"/>
    </w:p>
    <w:p w14:paraId="05DD76C5">
      <w:pPr>
        <w:pStyle w:val="39"/>
        <w:rPr>
          <w:color w:val="000000" w:themeColor="text1"/>
          <w14:textFill>
            <w14:solidFill>
              <w14:schemeClr w14:val="tx1"/>
            </w14:solidFill>
          </w14:textFill>
        </w:rPr>
      </w:pPr>
      <w:r>
        <w:rPr>
          <w:b/>
          <w:color w:val="000000" w:themeColor="text1"/>
          <w14:textFill>
            <w14:solidFill>
              <w14:schemeClr w14:val="tx1"/>
            </w14:solidFill>
          </w14:textFill>
        </w:rPr>
        <w:t>11.1.1</w:t>
      </w:r>
      <w:r>
        <w:rPr>
          <w:color w:val="000000" w:themeColor="text1"/>
          <w14:textFill>
            <w14:solidFill>
              <w14:schemeClr w14:val="tx1"/>
            </w14:solidFill>
          </w14:textFill>
        </w:rPr>
        <w:t xml:space="preserve">  本条确立了履约验收的基本原则。编制组在调研中发现，大量合同纠纷的根源在于验收环节“标准模糊、程序缺失、责任不清”。传统做法往往将“竣工验收”等同于“合同履行完毕”，忽略了对投标承诺、过程行为、资料提交等非实体成果的验收。本条明确要求验收必须“客观公正、证据充分、程序规范、结论明确”，旨在将履约验收提升至与竣工验收同等重要的地位</w:t>
      </w:r>
    </w:p>
    <w:p w14:paraId="1C22170B">
      <w:pPr>
        <w:pStyle w:val="39"/>
        <w:rPr>
          <w:color w:val="000000" w:themeColor="text1"/>
          <w14:textFill>
            <w14:solidFill>
              <w14:schemeClr w14:val="tx1"/>
            </w14:solidFill>
          </w14:textFill>
        </w:rPr>
      </w:pPr>
      <w:r>
        <w:rPr>
          <w:b/>
          <w:color w:val="000000" w:themeColor="text1"/>
          <w14:textFill>
            <w14:solidFill>
              <w14:schemeClr w14:val="tx1"/>
            </w14:solidFill>
          </w14:textFill>
        </w:rPr>
        <w:t>11.1.2</w:t>
      </w:r>
      <w:r>
        <w:rPr>
          <w:color w:val="000000" w:themeColor="text1"/>
          <w14:textFill>
            <w14:solidFill>
              <w14:schemeClr w14:val="tx1"/>
            </w14:solidFill>
          </w14:textFill>
        </w:rPr>
        <w:t xml:space="preserve">  本条明确发包人是履约验收的责任主体。虽然发包人可委托第三方咨询机构或监理单位协助组织验收工作，但最终验收结论的确认和法律责任仍由发包人承担。实践中，部分发包人将验收责任完全推给监理单位，导致监理单位“既当运动员又当裁判员”，验收结论公信力不足。本条规定发包人须亲自组织或主导验收，并对验收结论负责。</w:t>
      </w:r>
    </w:p>
    <w:p w14:paraId="62DAD2AB">
      <w:pPr>
        <w:pStyle w:val="39"/>
        <w:rPr>
          <w:color w:val="000000" w:themeColor="text1"/>
          <w14:textFill>
            <w14:solidFill>
              <w14:schemeClr w14:val="tx1"/>
            </w14:solidFill>
          </w14:textFill>
        </w:rPr>
      </w:pPr>
      <w:r>
        <w:rPr>
          <w:b/>
          <w:color w:val="000000" w:themeColor="text1"/>
          <w14:textFill>
            <w14:solidFill>
              <w14:schemeClr w14:val="tx1"/>
            </w14:solidFill>
          </w14:textFill>
        </w:rPr>
        <w:t>11.1.3</w:t>
      </w:r>
      <w:r>
        <w:rPr>
          <w:color w:val="000000" w:themeColor="text1"/>
          <w14:textFill>
            <w14:solidFill>
              <w14:schemeClr w14:val="tx1"/>
            </w14:solidFill>
          </w14:textFill>
        </w:rPr>
        <w:t xml:space="preserve">  本条系本标准的创新和核心条款。它将履约验收从传统的“工程竣工验收”扩展为对“全部合同义务”的验收，特别是对过程管理记录的审查。</w:t>
      </w:r>
    </w:p>
    <w:p w14:paraId="7FD0C382">
      <w:pPr>
        <w:pStyle w:val="39"/>
      </w:pPr>
      <w:r>
        <w:rPr>
          <w:b/>
          <w:color w:val="000000" w:themeColor="text1"/>
          <w14:textFill>
            <w14:solidFill>
              <w14:schemeClr w14:val="tx1"/>
            </w14:solidFill>
          </w14:textFill>
        </w:rPr>
        <w:t>11.1.4</w:t>
      </w:r>
      <w:r>
        <w:rPr>
          <w:color w:val="000000" w:themeColor="text1"/>
          <w14:textFill>
            <w14:solidFill>
              <w14:schemeClr w14:val="tx1"/>
            </w14:solidFill>
          </w14:textFill>
        </w:rPr>
        <w:t xml:space="preserve">  本条是本章的核心条款之一，确立了“履约验收报告作为结算依据”的原则。过去，</w:t>
      </w:r>
      <w:r>
        <w:t>结算往往仅依据竣工图和工程量清单，过程管理中记录的违约、质量问题、未整改事项难以在结算时得到体现，导致“过程管得严、结算吃大亏”。本条要求将履约验收报告中列明的违约金、赔偿金等款项直接在结算中扣除，实现了过程管理与最终支付的闭环。</w:t>
      </w:r>
    </w:p>
    <w:p w14:paraId="06E946D2">
      <w:pPr>
        <w:pStyle w:val="5"/>
      </w:pPr>
      <w:bookmarkStart w:id="1078" w:name="_Toc2063584030"/>
      <w:bookmarkStart w:id="1079" w:name="_Toc1415841497"/>
      <w:bookmarkStart w:id="1080" w:name="_Toc745214162"/>
      <w:bookmarkStart w:id="1081" w:name="_Toc498657309"/>
      <w:r>
        <w:t>11.2  验收依据与标准</w:t>
      </w:r>
      <w:bookmarkEnd w:id="1078"/>
      <w:bookmarkEnd w:id="1079"/>
      <w:bookmarkEnd w:id="1080"/>
      <w:bookmarkEnd w:id="1081"/>
    </w:p>
    <w:p w14:paraId="3E4E8BAE">
      <w:pPr>
        <w:pStyle w:val="39"/>
      </w:pPr>
      <w:r>
        <w:rPr>
          <w:b/>
        </w:rPr>
        <w:t>11.2.1</w:t>
      </w:r>
      <w:r>
        <w:t xml:space="preserve">  本条列明了履约验收的五大依据。特别值得注意的是第3款“经双方确认的履约清单”和第5款“合同履行过程中经确认的变更、签证等书面文件”。履约清单是验收的具体标尺；过程变更文件是验收的动态依据。验收时不得引用合同之外的任何口头约定或未经确认的文件。</w:t>
      </w:r>
    </w:p>
    <w:p w14:paraId="66515E30">
      <w:pPr>
        <w:pStyle w:val="39"/>
      </w:pPr>
      <w:r>
        <w:rPr>
          <w:b/>
        </w:rPr>
        <w:t>11.2.2</w:t>
      </w:r>
      <w:r>
        <w:t xml:space="preserve">  本条对验收标准提出要求。标准应具体、可衡量。例如，不能仅写“质量合格”，而应明确“符合《建筑工程施工质量验收统一标准》GB 50300-202×，一次验收合格率100%”。资料完整性的要求同样重要，缺少必要的检验报告、竣工图、运维手册等，即使实体合格，也应视为验收不通过。</w:t>
      </w:r>
    </w:p>
    <w:p w14:paraId="5A973852">
      <w:pPr>
        <w:pStyle w:val="5"/>
      </w:pPr>
      <w:bookmarkStart w:id="1082" w:name="_Toc1900730505"/>
      <w:bookmarkStart w:id="1083" w:name="_Toc1480820916"/>
      <w:bookmarkStart w:id="1084" w:name="_Toc466938655"/>
      <w:bookmarkStart w:id="1085" w:name="_Toc422976832"/>
      <w:r>
        <w:t>11.3  验收方式</w:t>
      </w:r>
      <w:bookmarkEnd w:id="1082"/>
      <w:bookmarkEnd w:id="1083"/>
      <w:bookmarkEnd w:id="1084"/>
      <w:bookmarkEnd w:id="1085"/>
    </w:p>
    <w:p w14:paraId="7658764E">
      <w:pPr>
        <w:pStyle w:val="39"/>
      </w:pPr>
      <w:r>
        <w:rPr>
          <w:b/>
        </w:rPr>
        <w:t>11.3.1-11.3.3</w:t>
      </w:r>
      <w:r>
        <w:t xml:space="preserve">  本条区分了两种验收方式。对于履约周期长、内容复杂的大型项目（如工程总承包、大型基础设施），宜采用“分期验收”方式。分期验收可以在每个里程碑节点（如桩基完成、主体封顶）进行，及时发现问题、及时整改，避免所有问题堆积到最终验收时集中爆发。分期验收的结论应作为最终履约验收的组成部分，不得在最终验收时推翻已经确认的分期验收结论，除非存在欺诈或重大隐蔽缺陷。</w:t>
      </w:r>
    </w:p>
    <w:p w14:paraId="3ABF8A58">
      <w:pPr>
        <w:pStyle w:val="5"/>
      </w:pPr>
      <w:bookmarkStart w:id="1086" w:name="_Toc147684408"/>
      <w:bookmarkStart w:id="1087" w:name="_Toc1358623114"/>
      <w:bookmarkStart w:id="1088" w:name="_Toc1559011100"/>
      <w:bookmarkStart w:id="1089" w:name="_Toc2070208005"/>
      <w:r>
        <w:t>11.4  履约过程记录的归集与审查</w:t>
      </w:r>
      <w:bookmarkEnd w:id="1086"/>
      <w:bookmarkEnd w:id="1087"/>
      <w:bookmarkEnd w:id="1088"/>
      <w:bookmarkEnd w:id="1089"/>
    </w:p>
    <w:p w14:paraId="612B1D1F">
      <w:pPr>
        <w:pStyle w:val="39"/>
      </w:pPr>
      <w:r>
        <w:rPr>
          <w:b/>
        </w:rPr>
        <w:t>11.4.1-11.4.3</w:t>
      </w:r>
      <w:r>
        <w:t xml:space="preserve">  本条是本章最具创新性的条款，也是落实“闭环管理”的关键。编制组在调研中发现，绝大多数项目在过程管理中积累了大量的检查记录、整改通知、违约认定记录，但这些记录在最终结算时往往“沉睡”在档案柜中，未被有效利用。</w:t>
      </w:r>
    </w:p>
    <w:p w14:paraId="4E090F38">
      <w:pPr>
        <w:pStyle w:val="39"/>
      </w:pPr>
      <w:r>
        <w:rPr>
          <w:b/>
        </w:rPr>
        <w:t>11.4.1</w:t>
      </w:r>
      <w:r>
        <w:t xml:space="preserve">  《履约过程问题汇总表》的编制，是连接过程管理和最终结算的关键。它强制要求发包人在验收前，将所有已发生的违约、未整改的问题、未达标的承诺，转化为可量化的违约金或赔偿金，并作为结算附件。这一动作将“定性”的问题转化为“定量”的金额，直接与结算挂钩，从根本上解决了“过程管理两张皮，结算时一笔糊涂账”的行业顽疾，是落实“闭环管理”的基石。</w:t>
      </w:r>
    </w:p>
    <w:p w14:paraId="4C99B2D5">
      <w:pPr>
        <w:pStyle w:val="39"/>
      </w:pPr>
      <w:r>
        <w:rPr>
          <w:b/>
        </w:rPr>
        <w:t>11.4.4</w:t>
      </w:r>
      <w:r>
        <w:t xml:space="preserve">  明确这两个表格是履约验收报告的组成部分，与验收结论一并签署确认。这意味着，承包人必须在验收时对这些问题汇总表进行确认（或提出异议），不得在验收后再行否认。这大大增强了过程管理记录的法律效力。</w:t>
      </w:r>
    </w:p>
    <w:p w14:paraId="3F6E66E7">
      <w:pPr>
        <w:pStyle w:val="5"/>
      </w:pPr>
      <w:bookmarkStart w:id="1090" w:name="_Toc1348100123"/>
      <w:bookmarkStart w:id="1091" w:name="_Toc685931472"/>
      <w:bookmarkStart w:id="1092" w:name="_Toc387339792"/>
      <w:bookmarkStart w:id="1093" w:name="_Toc691063052"/>
      <w:r>
        <w:t>11.5  验收程序</w:t>
      </w:r>
      <w:bookmarkEnd w:id="1090"/>
      <w:bookmarkEnd w:id="1091"/>
      <w:bookmarkEnd w:id="1092"/>
      <w:bookmarkEnd w:id="1093"/>
    </w:p>
    <w:p w14:paraId="096E7760">
      <w:pPr>
        <w:pStyle w:val="39"/>
      </w:pPr>
      <w:r>
        <w:rPr>
          <w:b/>
        </w:rPr>
        <w:t>11.5.1</w:t>
      </w:r>
      <w:r>
        <w:t xml:space="preserve">  承包人提交验收申请前，必须完成内部自查。内部自查报告应由项目经理签字并加盖公章。发包人不得接受未经承包人内部自查的验收申请，否则一旦验收后发现问题，承包人可能以“发包人未给予自查机会”为由推卸责任。</w:t>
      </w:r>
    </w:p>
    <w:p w14:paraId="6DE64DFA">
      <w:pPr>
        <w:pStyle w:val="39"/>
      </w:pPr>
      <w:r>
        <w:rPr>
          <w:b/>
        </w:rPr>
        <w:t>11.5.2</w:t>
      </w:r>
      <w:r>
        <w:t xml:space="preserve">  发包人收到申请后的审查工作包括三个方面：资料完整性、过程记录齐备性、验收会议组织。发包人应在合同约定的期限内完成审查，合同未约定的，建议在28天内完成。逾期未组织的，承包人可书面催告，催告后仍不组织的，可视为发包人无正当理由拖延验收，承包人有权主张相应权利。</w:t>
      </w:r>
    </w:p>
    <w:p w14:paraId="374A6130">
      <w:pPr>
        <w:pStyle w:val="39"/>
      </w:pPr>
      <w:r>
        <w:rPr>
          <w:b/>
        </w:rPr>
        <w:t>11.5.3</w:t>
      </w:r>
      <w:r>
        <w:t xml:space="preserve">  验收会议是正式验收的法定程序。会议应形成书面签到表、会议记录和验收意见。验收意见由验收小组成员（通常包括发包人代表、监理单位代表、设计单位代表、承包人代表，必要时可邀请专家）签字确认。签字确认的验收意见具有法律效力。</w:t>
      </w:r>
    </w:p>
    <w:p w14:paraId="3B7F4189">
      <w:pPr>
        <w:pStyle w:val="39"/>
      </w:pPr>
      <w:r>
        <w:rPr>
          <w:b/>
        </w:rPr>
        <w:t>11.5.4</w:t>
      </w:r>
      <w:r>
        <w:t xml:space="preserve">  验收会议上发现的问题分为两类：可即时确认的问题（如文件缺失、部分指标未达标）应在验收意见中记录，并要求承包人在规定期限内补充或整改；需进一步核实的问题（如隐蔽工程的质量争议），发包人可暂缓出具验收结论，待核实清楚后再行确认。暂缓期间不计入验收期限。</w:t>
      </w:r>
    </w:p>
    <w:p w14:paraId="1C01E91B">
      <w:pPr>
        <w:pStyle w:val="5"/>
      </w:pPr>
      <w:bookmarkStart w:id="1094" w:name="_Toc215199206"/>
      <w:bookmarkStart w:id="1095" w:name="_Toc363067914"/>
      <w:bookmarkStart w:id="1096" w:name="_Toc566698279"/>
      <w:bookmarkStart w:id="1097" w:name="_Toc213831951"/>
      <w:r>
        <w:t>11.6  履约验收报告</w:t>
      </w:r>
      <w:bookmarkEnd w:id="1094"/>
      <w:bookmarkEnd w:id="1095"/>
      <w:bookmarkEnd w:id="1096"/>
      <w:bookmarkEnd w:id="1097"/>
    </w:p>
    <w:p w14:paraId="10587D77">
      <w:pPr>
        <w:pStyle w:val="39"/>
      </w:pPr>
      <w:r>
        <w:rPr>
          <w:b/>
        </w:rPr>
        <w:t>11.6.1-11.6.2</w:t>
      </w:r>
      <w:r>
        <w:t xml:space="preserve">  履约验收报告是验收工作的最终成果文件，也是结算的法定依据。报告必须经发包人与承包人共同确认后签署。共同确认意味着双方对报告内容（包括问题汇总表和应扣款项）达成一致。如承包人对部分内容有异议，应在签署前书面提出，协商不成的，按合同约定的争议解决方式处理。</w:t>
      </w:r>
    </w:p>
    <w:p w14:paraId="2DD1EABD">
      <w:pPr>
        <w:pStyle w:val="39"/>
      </w:pPr>
      <w:r>
        <w:rPr>
          <w:b/>
        </w:rPr>
        <w:t>11.6.3</w:t>
      </w:r>
      <w:r>
        <w:t xml:space="preserve">  验收结论为“通过”的四个条件缺一不可。特别是第2款“最终交付成果符合合同约定的质量标准和验收条件”，以及第3款“履约过程问题汇总表中各项问题均已整改到位或已核算对应扣款”。注意：问题可以未整改，但必须已经核算扣款，且承包人接受该扣款。例如，擅自更换项目经理，未整改（人员已离开），但已按合同扣除违约金，则不影响验收通过。</w:t>
      </w:r>
    </w:p>
    <w:p w14:paraId="69272A73">
      <w:pPr>
        <w:pStyle w:val="39"/>
      </w:pPr>
      <w:r>
        <w:rPr>
          <w:b/>
        </w:rPr>
        <w:t>11.6.4</w:t>
      </w:r>
      <w:r>
        <w:t xml:space="preserve">  验收结论为“不通过”的，必须明确不通过的具体事项。例如：“不通过原因：钢结构焊缝检测报告缺失，经两次整改通知仍未提交。”不通过后，承包人应在限定期限内整改，整改完成后重新申请验收。重新验收仍不合格的，发包人可按合同约定解除合同、追究违约责任，并将相关信息纳入履约信用管理。注意：重新验收的次数不宜无限制，合同应约定最多二次，二次仍不合格的，视为根本违约。</w:t>
      </w:r>
    </w:p>
    <w:p w14:paraId="1E947D28">
      <w:pPr>
        <w:pStyle w:val="39"/>
      </w:pPr>
      <w:r>
        <w:rPr>
          <w:b/>
        </w:rPr>
        <w:t>11.6.5</w:t>
      </w:r>
      <w:r>
        <w:t xml:space="preserve">  本条是结算与验收联动的核心保障。验收“不通过”，发包人不得进入结算支付程序。这一规定有效防止了“先付钱后整改”的情况，给发包人提供了强有力的谈判筹码，也倒逼承包人认真对待验收。</w:t>
      </w:r>
    </w:p>
    <w:p w14:paraId="41923947">
      <w:pPr>
        <w:pStyle w:val="5"/>
      </w:pPr>
      <w:bookmarkStart w:id="1098" w:name="_Toc2123985924"/>
      <w:bookmarkStart w:id="1099" w:name="_Toc233171094"/>
      <w:bookmarkStart w:id="1100" w:name="_Toc2138734440"/>
      <w:bookmarkStart w:id="1101" w:name="_Toc1789442800"/>
      <w:r>
        <w:t>11.7  履约验收与结算联动</w:t>
      </w:r>
      <w:bookmarkEnd w:id="1098"/>
      <w:bookmarkEnd w:id="1099"/>
      <w:bookmarkEnd w:id="1100"/>
      <w:bookmarkEnd w:id="1101"/>
    </w:p>
    <w:p w14:paraId="21AC3927">
      <w:pPr>
        <w:pStyle w:val="39"/>
      </w:pPr>
      <w:r>
        <w:rPr>
          <w:b/>
        </w:rPr>
        <w:t>11.7.1-11.7.2</w:t>
      </w:r>
      <w:r>
        <w:t xml:space="preserve">  本条规定了结算审核的具体操作。结算审核时，必须将履约验收报告作为必备资料。审核人员应依据报告中的《履约过程问题汇总表》，将列明的违约金、赔偿金从结算价款中直接扣除。暂缓支付事项（如部分资料未交）应在条件满足后（如资料补交完成）再行支付。承包人原因造成的损失赔偿（如发包人委托第三方修复的费用）也应在结算时一并清算。</w:t>
      </w:r>
    </w:p>
    <w:p w14:paraId="67195745">
      <w:pPr>
        <w:pStyle w:val="39"/>
      </w:pPr>
      <w:r>
        <w:rPr>
          <w:b/>
        </w:rPr>
        <w:t xml:space="preserve">11.7.3 </w:t>
      </w:r>
      <w:r>
        <w:t xml:space="preserve"> 合同应明确约定“验收在前、结算在后”的程序衔接。具体可约定：履约验收报告签署后14天内，承包人提交结算书；发包人收到结算书后28天内完成结算审核，审核依据履约验收报告中的扣款项直接调整。这一约定在合同中的存在，是结算扣款的合同依据。</w:t>
      </w:r>
    </w:p>
    <w:p w14:paraId="5235E48E">
      <w:pPr>
        <w:pStyle w:val="39"/>
      </w:pPr>
      <w:r>
        <w:rPr>
          <w:b/>
        </w:rPr>
        <w:t>11.7.4</w:t>
      </w:r>
      <w:r>
        <w:t xml:space="preserve">  履约验收报告、结算审核文件、支付凭证等是项目履约管理的最终成果文件，也是未来可能发生争议时的重要证据。应按照档案管理规定，至少保存至工程缺陷责任期届满后5年，或按合同约定及法律法规要求保存。</w:t>
      </w:r>
    </w:p>
    <w:p w14:paraId="788E0A67">
      <w:pPr>
        <w:pStyle w:val="4"/>
      </w:pPr>
      <w:bookmarkStart w:id="1102" w:name="_Toc1811140627"/>
      <w:bookmarkStart w:id="1103" w:name="_Toc1946906839"/>
      <w:bookmarkStart w:id="1104" w:name="_Toc1213417599"/>
      <w:bookmarkStart w:id="1105" w:name="_Toc1573599451"/>
      <w:r>
        <w:t>12  质量保证期管理</w:t>
      </w:r>
      <w:bookmarkEnd w:id="1102"/>
      <w:bookmarkEnd w:id="1103"/>
      <w:bookmarkEnd w:id="1104"/>
      <w:bookmarkEnd w:id="1105"/>
    </w:p>
    <w:p w14:paraId="7C32040E">
      <w:pPr>
        <w:pStyle w:val="5"/>
      </w:pPr>
      <w:bookmarkStart w:id="1106" w:name="_Toc2044778782"/>
      <w:bookmarkStart w:id="1107" w:name="_Toc1693451853"/>
      <w:bookmarkStart w:id="1108" w:name="_Toc236223716"/>
      <w:bookmarkStart w:id="1109" w:name="_Toc1594708088"/>
      <w:r>
        <w:t>12.1  一般规定</w:t>
      </w:r>
      <w:bookmarkEnd w:id="1106"/>
      <w:bookmarkEnd w:id="1107"/>
      <w:bookmarkEnd w:id="1108"/>
      <w:bookmarkEnd w:id="1109"/>
    </w:p>
    <w:p w14:paraId="25D289FE">
      <w:pPr>
        <w:pStyle w:val="39"/>
      </w:pPr>
      <w:r>
        <w:rPr>
          <w:b/>
        </w:rPr>
        <w:t>12.1.1</w:t>
      </w:r>
      <w:r>
        <w:t xml:space="preserve">  质量保证期管理是履约管理的延续，而非终结。很多发包人认为竣工验收合格后即万事大吉，忽视对质保期内承包人责任的监督，导致质量缺陷无人处理。</w:t>
      </w:r>
    </w:p>
    <w:p w14:paraId="1904A753">
      <w:pPr>
        <w:pStyle w:val="5"/>
      </w:pPr>
      <w:bookmarkStart w:id="1110" w:name="_Toc1552578564"/>
      <w:bookmarkStart w:id="1111" w:name="_Toc463930648"/>
      <w:bookmarkStart w:id="1112" w:name="_Toc673186704"/>
      <w:bookmarkStart w:id="1113" w:name="_Toc1798631063"/>
      <w:r>
        <w:t>12.3  质量缺陷的处理</w:t>
      </w:r>
      <w:bookmarkEnd w:id="1110"/>
      <w:bookmarkEnd w:id="1111"/>
      <w:bookmarkEnd w:id="1112"/>
      <w:bookmarkEnd w:id="1113"/>
    </w:p>
    <w:p w14:paraId="6293CAA8">
      <w:pPr>
        <w:pStyle w:val="39"/>
      </w:pPr>
      <w:r>
        <w:rPr>
          <w:b/>
        </w:rPr>
        <w:t>12.3.5</w:t>
      </w:r>
      <w:r>
        <w:t xml:space="preserve">  本条是处理承包人消极履行质保义务的关键条款。发包人发现质量缺陷并通知承包人后，承包人在约定时限内不响应或处理不到位的，发包人有权“自行或委托第三方处理”，费用从质量保证金中直接扣除。这既保障了工程正常使用，也是对承包人的有效约束。</w:t>
      </w:r>
    </w:p>
    <w:p w14:paraId="5AD26F03">
      <w:pPr>
        <w:pStyle w:val="5"/>
      </w:pPr>
      <w:bookmarkStart w:id="1114" w:name="_Toc447395921"/>
      <w:bookmarkStart w:id="1115" w:name="_Toc674056821"/>
      <w:bookmarkStart w:id="1116" w:name="_Toc850150413"/>
      <w:bookmarkStart w:id="1117" w:name="_Toc881304247"/>
      <w:r>
        <w:t>12.4  质量保证金管理</w:t>
      </w:r>
      <w:bookmarkEnd w:id="1114"/>
      <w:bookmarkEnd w:id="1115"/>
      <w:bookmarkEnd w:id="1116"/>
      <w:bookmarkEnd w:id="1117"/>
    </w:p>
    <w:p w14:paraId="55F9BA14">
      <w:pPr>
        <w:pStyle w:val="39"/>
      </w:pPr>
      <w:r>
        <w:rPr>
          <w:b/>
        </w:rPr>
        <w:t>12.4.3-12.4.4</w:t>
      </w:r>
      <w:r>
        <w:t xml:space="preserve">  质量保证金返还的条件。缺陷责任期届满后，发包人应组织核查，确认无未处理缺陷后方可返还。核查应形成书面记录。存在未处理缺陷的，可暂扣相应金额的保证金，待缺陷处理完成后再返还剩余部分。注意：质量保证金返还后，承包人依法应承担的质量责任（如主体结构终身保修）不因保证金的返还而免除。</w:t>
      </w:r>
    </w:p>
    <w:p w14:paraId="686471FF">
      <w:pPr>
        <w:pStyle w:val="4"/>
      </w:pPr>
      <w:bookmarkStart w:id="1118" w:name="_Toc1414891275"/>
      <w:bookmarkStart w:id="1119" w:name="_Toc1524088962"/>
      <w:bookmarkStart w:id="1120" w:name="_Toc207661989"/>
      <w:bookmarkStart w:id="1121" w:name="_Toc1022426260"/>
      <w:r>
        <w:t>13  履约评价与信用管理</w:t>
      </w:r>
      <w:bookmarkEnd w:id="1118"/>
      <w:bookmarkEnd w:id="1119"/>
      <w:bookmarkEnd w:id="1120"/>
      <w:bookmarkEnd w:id="1121"/>
    </w:p>
    <w:p w14:paraId="70763094">
      <w:pPr>
        <w:pStyle w:val="5"/>
      </w:pPr>
      <w:bookmarkStart w:id="1122" w:name="_Toc1467287700"/>
      <w:bookmarkStart w:id="1123" w:name="_Toc1577434500"/>
      <w:bookmarkStart w:id="1124" w:name="_Toc2110317923"/>
      <w:bookmarkStart w:id="1125" w:name="_Toc1632960323"/>
      <w:r>
        <w:t>13.2  评价指标体系</w:t>
      </w:r>
      <w:bookmarkEnd w:id="1122"/>
      <w:bookmarkEnd w:id="1123"/>
      <w:bookmarkEnd w:id="1124"/>
      <w:bookmarkEnd w:id="1125"/>
    </w:p>
    <w:p w14:paraId="0132A205">
      <w:pPr>
        <w:pStyle w:val="39"/>
        <w:rPr>
          <w:color w:val="000000" w:themeColor="text1"/>
          <w14:textFill>
            <w14:solidFill>
              <w14:schemeClr w14:val="tx1"/>
            </w14:solidFill>
          </w14:textFill>
        </w:rPr>
      </w:pPr>
      <w:r>
        <w:rPr>
          <w:b/>
        </w:rPr>
        <w:t>13.2.1-13.2.</w:t>
      </w:r>
      <w:r>
        <w:rPr>
          <w:rFonts w:hint="eastAsia"/>
          <w:b/>
        </w:rPr>
        <w:t>3</w:t>
      </w:r>
      <w:r>
        <w:t xml:space="preserve">  评价指</w:t>
      </w:r>
      <w:r>
        <w:rPr>
          <w:color w:val="000000" w:themeColor="text1"/>
          <w14:textFill>
            <w14:solidFill>
              <w14:schemeClr w14:val="tx1"/>
            </w14:solidFill>
          </w14:textFill>
        </w:rPr>
        <w:t>标体系的建立要求。发包人应制定量化的评分细则，避免主观评价。建议从“人员到岗、资源投入、进度控制、质量管理、安全管理、配合度”等维度设置权重，并明确加分项（如获得质量奖项、技术创新）和扣分项（如人员更换、进度滞后、质量整改不及时）。评分细则应事先向承包人公开。</w:t>
      </w:r>
    </w:p>
    <w:p w14:paraId="1C17E290">
      <w:pPr>
        <w:pStyle w:val="39"/>
        <w:rPr>
          <w:color w:val="000000" w:themeColor="text1"/>
          <w14:textFill>
            <w14:solidFill>
              <w14:schemeClr w14:val="tx1"/>
            </w14:solidFill>
          </w14:textFill>
        </w:rPr>
      </w:pPr>
      <w:r>
        <w:rPr>
          <w:b/>
          <w:color w:val="000000" w:themeColor="text1"/>
          <w14:textFill>
            <w14:solidFill>
              <w14:schemeClr w14:val="tx1"/>
            </w14:solidFill>
          </w14:textFill>
        </w:rPr>
        <w:t>13.2.4</w:t>
      </w:r>
      <w:r>
        <w:rPr>
          <w:color w:val="000000" w:themeColor="text1"/>
          <w14:textFill>
            <w14:solidFill>
              <w14:schemeClr w14:val="tx1"/>
            </w14:solidFill>
          </w14:textFill>
        </w:rPr>
        <w:t xml:space="preserve">  本条针对施工</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的特点罗列了采购管理、试运行与性能考核、数智化应用等专项评价指标。发包人应建立履约评价档案，将评价结果纳入信用管理。评价结果可作为后续自主项目发包的参考：对评价优秀的承包人，可在后续自主项目发包、款项优先支付、评定分离项目等方面予以优先考虑；对评价不合格的承包人，可限制其参与后续自主项目，加强监督检查。发包人可将履约评价结果按程序报送行业主管部门，建议纳入政府信用评价体系，实现“守信激励、失信惩戒”。</w:t>
      </w:r>
    </w:p>
    <w:p w14:paraId="5E290871">
      <w:pPr>
        <w:pStyle w:val="39"/>
        <w:rPr>
          <w:color w:val="000000" w:themeColor="text1"/>
          <w14:textFill>
            <w14:solidFill>
              <w14:schemeClr w14:val="tx1"/>
            </w14:solidFill>
          </w14:textFill>
        </w:rPr>
      </w:pPr>
      <w:r>
        <w:rPr>
          <w:b/>
          <w:color w:val="000000" w:themeColor="text1"/>
          <w14:textFill>
            <w14:solidFill>
              <w14:schemeClr w14:val="tx1"/>
            </w14:solidFill>
          </w14:textFill>
        </w:rPr>
        <w:t>13.2.</w:t>
      </w:r>
      <w:r>
        <w:rPr>
          <w:rFonts w:hint="eastAsia"/>
          <w:b/>
          <w:color w:val="000000" w:themeColor="text1"/>
          <w14:textFill>
            <w14:solidFill>
              <w14:schemeClr w14:val="tx1"/>
            </w14:solidFill>
          </w14:textFill>
        </w:rPr>
        <w:t>5</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w:t>
      </w:r>
      <w:r>
        <w:rPr>
          <w:color w:val="000000" w:themeColor="text1"/>
          <w14:textFill>
            <w14:solidFill>
              <w14:schemeClr w14:val="tx1"/>
            </w14:solidFill>
          </w14:textFill>
        </w:rPr>
        <w:t>工程总承包</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履约评价指标。在工程总承包模式下，履约评价指标在传统施工评价基础上增加“设计质量、设计进度、采购管理、接口协调、试运行与性能考核、数智化应用”等指标</w:t>
      </w:r>
      <w:r>
        <w:rPr>
          <w:rFonts w:hint="eastAsia"/>
          <w:color w:val="000000" w:themeColor="text1"/>
          <w14:textFill>
            <w14:solidFill>
              <w14:schemeClr w14:val="tx1"/>
            </w14:solidFill>
          </w14:textFill>
        </w:rPr>
        <w:t>。</w:t>
      </w:r>
    </w:p>
    <w:p w14:paraId="6735C618">
      <w:pPr>
        <w:pStyle w:val="39"/>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依据《建设项目工程总承包管理规范》（GB/T 50358-2017）、《建设项目工程总承包合同（示范文本）》等要求，工程总承包企业应对工程总承包项目实施全过程进行控制，涵盖设计、采购、施工和试运行，并对设计与采购、施工和试运行的接口实施重点控制，也是工程总承包模式区别于传统模式的核心管理要素。设计与采购与施工脱节等接口问题，通过评价接口协调机制的有效性和问题响应及时性，可体现承包人一体化管理能力。将评价范围从“施工阶段”拓展至“设计、采购、施工、试运行全过程”，从单一“实体质量”延伸到“接口协调和性能达标”，从“传统管理”升级到“数智化管理”（可按合同约定设置），实现与工程总承包模式“全过程、一体化”特征的匹配，为发包人实施全过程监督和承包人实现一体化履约提供统一的评价基准。上述各项评价指标可形成“源头控制—过程保障—接口衔接—终端验证”的完整逻辑链条并在成果质量、效能上各有侧重点。</w:t>
      </w:r>
    </w:p>
    <w:p w14:paraId="5887D2F2">
      <w:pPr>
        <w:pStyle w:val="39"/>
        <w:rPr>
          <w:color w:val="000000" w:themeColor="text1"/>
          <w14:textFill>
            <w14:solidFill>
              <w14:schemeClr w14:val="tx1"/>
            </w14:solidFill>
          </w14:textFill>
        </w:rPr>
      </w:pPr>
      <w:r>
        <w:rPr>
          <w:b/>
          <w:bCs/>
          <w:color w:val="000000" w:themeColor="text1"/>
          <w14:textFill>
            <w14:solidFill>
              <w14:schemeClr w14:val="tx1"/>
            </w14:solidFill>
          </w14:textFill>
        </w:rPr>
        <w:t>13.2.</w:t>
      </w:r>
      <w:r>
        <w:rPr>
          <w:rFonts w:hint="eastAsia"/>
          <w:b/>
          <w:bCs/>
          <w:color w:val="000000" w:themeColor="text1"/>
          <w14:textFill>
            <w14:solidFill>
              <w14:schemeClr w14:val="tx1"/>
            </w14:solidFill>
          </w14:textFill>
        </w:rPr>
        <w:t>6</w:t>
      </w:r>
      <w:r>
        <w:rPr>
          <w:b/>
          <w:bCs/>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提出勘察项目</w:t>
      </w:r>
      <w:r>
        <w:rPr>
          <w:color w:val="000000" w:themeColor="text1"/>
          <w14:textFill>
            <w14:solidFill>
              <w14:schemeClr w14:val="tx1"/>
            </w14:solidFill>
          </w14:textFill>
        </w:rPr>
        <w:t>履约评价指标</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在通用评价指标基础上，增设专属考核指标，作为履约打分、信用评级、后续合作评价的</w:t>
      </w:r>
      <w:r>
        <w:rPr>
          <w:rFonts w:hint="eastAsia"/>
          <w:color w:val="000000" w:themeColor="text1"/>
          <w14:textFill>
            <w14:solidFill>
              <w14:schemeClr w14:val="tx1"/>
            </w14:solidFill>
          </w14:textFill>
        </w:rPr>
        <w:t>重要</w:t>
      </w:r>
      <w:r>
        <w:rPr>
          <w:color w:val="000000" w:themeColor="text1"/>
          <w14:textFill>
            <w14:solidFill>
              <w14:schemeClr w14:val="tx1"/>
            </w14:solidFill>
          </w14:textFill>
        </w:rPr>
        <w:t>依据</w:t>
      </w:r>
      <w:r>
        <w:rPr>
          <w:rFonts w:hint="eastAsia"/>
          <w:color w:val="000000" w:themeColor="text1"/>
          <w14:textFill>
            <w14:solidFill>
              <w14:schemeClr w14:val="tx1"/>
            </w14:solidFill>
          </w14:textFill>
        </w:rPr>
        <w:t>，包括</w:t>
      </w:r>
      <w:r>
        <w:rPr>
          <w:color w:val="000000" w:themeColor="text1"/>
          <w14:textFill>
            <w14:solidFill>
              <w14:schemeClr w14:val="tx1"/>
            </w14:solidFill>
          </w14:textFill>
        </w:rPr>
        <w:t>重点考核外业数据真实性、数据精度、进度履约、成果完整性与合规性；发包人可采取随机抽查、委托第三方检测等方式核验。</w:t>
      </w:r>
    </w:p>
    <w:p w14:paraId="6DB4796F">
      <w:pPr>
        <w:pStyle w:val="39"/>
        <w:rPr>
          <w:color w:val="000000" w:themeColor="text1"/>
          <w14:textFill>
            <w14:solidFill>
              <w14:schemeClr w14:val="tx1"/>
            </w14:solidFill>
          </w14:textFill>
        </w:rPr>
      </w:pPr>
      <w:r>
        <w:rPr>
          <w:b/>
          <w:bCs/>
          <w:color w:val="000000" w:themeColor="text1"/>
          <w14:textFill>
            <w14:solidFill>
              <w14:schemeClr w14:val="tx1"/>
            </w14:solidFill>
          </w14:textFill>
        </w:rPr>
        <w:t>13.2.</w:t>
      </w:r>
      <w:r>
        <w:rPr>
          <w:rFonts w:hint="eastAsia"/>
          <w:b/>
          <w:bCs/>
          <w:color w:val="000000" w:themeColor="text1"/>
          <w:lang w:val="en-US" w:eastAsia="zh-CN"/>
          <w14:textFill>
            <w14:solidFill>
              <w14:schemeClr w14:val="tx1"/>
            </w14:solidFill>
          </w14:textFill>
        </w:rPr>
        <w:t xml:space="preserve">7  </w:t>
      </w:r>
      <w:r>
        <w:rPr>
          <w:color w:val="000000" w:themeColor="text1"/>
          <w14:textFill>
            <w14:solidFill>
              <w14:schemeClr w14:val="tx1"/>
            </w14:solidFill>
          </w14:textFill>
        </w:rPr>
        <w:t>本条</w:t>
      </w:r>
      <w:r>
        <w:rPr>
          <w:rFonts w:hint="eastAsia"/>
          <w:color w:val="000000" w:themeColor="text1"/>
          <w14:textFill>
            <w14:solidFill>
              <w14:schemeClr w14:val="tx1"/>
            </w14:solidFill>
          </w14:textFill>
        </w:rPr>
        <w:t>提出设计项目</w:t>
      </w:r>
      <w:r>
        <w:rPr>
          <w:color w:val="000000" w:themeColor="text1"/>
          <w14:textFill>
            <w14:solidFill>
              <w14:schemeClr w14:val="tx1"/>
            </w14:solidFill>
          </w14:textFill>
        </w:rPr>
        <w:t>履约评价指标</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在通用评价指标基础上，增设专属考核指标，作为履约打分、信用评级、后续合作评价的</w:t>
      </w:r>
      <w:r>
        <w:rPr>
          <w:rFonts w:hint="eastAsia"/>
          <w:color w:val="000000" w:themeColor="text1"/>
          <w14:textFill>
            <w14:solidFill>
              <w14:schemeClr w14:val="tx1"/>
            </w14:solidFill>
          </w14:textFill>
        </w:rPr>
        <w:t>重要</w:t>
      </w:r>
      <w:r>
        <w:rPr>
          <w:color w:val="000000" w:themeColor="text1"/>
          <w14:textFill>
            <w14:solidFill>
              <w14:schemeClr w14:val="tx1"/>
            </w14:solidFill>
          </w14:textFill>
        </w:rPr>
        <w:t>依据</w:t>
      </w:r>
      <w:r>
        <w:rPr>
          <w:rFonts w:hint="eastAsia"/>
          <w:color w:val="000000" w:themeColor="text1"/>
          <w14:textFill>
            <w14:solidFill>
              <w14:schemeClr w14:val="tx1"/>
            </w14:solidFill>
          </w14:textFill>
        </w:rPr>
        <w:t>，包括</w:t>
      </w:r>
      <w:r>
        <w:rPr>
          <w:color w:val="000000" w:themeColor="text1"/>
          <w14:textFill>
            <w14:solidFill>
              <w14:schemeClr w14:val="tx1"/>
            </w14:solidFill>
          </w14:textFill>
        </w:rPr>
        <w:t>考核设计文件完整性、内容准确性、图纸及方案审查通过率、成果按期交付情况。</w:t>
      </w:r>
    </w:p>
    <w:p w14:paraId="3FA38A44">
      <w:pPr>
        <w:pStyle w:val="39"/>
        <w:rPr>
          <w:color w:val="000000" w:themeColor="text1"/>
          <w14:textFill>
            <w14:solidFill>
              <w14:schemeClr w14:val="tx1"/>
            </w14:solidFill>
          </w14:textFill>
        </w:rPr>
      </w:pPr>
      <w:r>
        <w:rPr>
          <w:b/>
          <w:bCs/>
          <w:color w:val="000000" w:themeColor="text1"/>
          <w14:textFill>
            <w14:solidFill>
              <w14:schemeClr w14:val="tx1"/>
            </w14:solidFill>
          </w14:textFill>
        </w:rPr>
        <w:t>13.2.</w:t>
      </w:r>
      <w:r>
        <w:rPr>
          <w:rFonts w:hint="eastAsia"/>
          <w:b/>
          <w:bCs/>
          <w:color w:val="000000" w:themeColor="text1"/>
          <w:lang w:val="en-US" w:eastAsia="zh-CN"/>
          <w14:textFill>
            <w14:solidFill>
              <w14:schemeClr w14:val="tx1"/>
            </w14:solidFill>
          </w14:textFill>
        </w:rPr>
        <w:t xml:space="preserve">8  </w:t>
      </w:r>
      <w:r>
        <w:rPr>
          <w:color w:val="000000" w:themeColor="text1"/>
          <w14:textFill>
            <w14:solidFill>
              <w14:schemeClr w14:val="tx1"/>
            </w14:solidFill>
          </w14:textFill>
        </w:rPr>
        <w:t>本条</w:t>
      </w:r>
      <w:r>
        <w:rPr>
          <w:rFonts w:hint="eastAsia"/>
          <w:color w:val="000000" w:themeColor="text1"/>
          <w14:textFill>
            <w14:solidFill>
              <w14:schemeClr w14:val="tx1"/>
            </w14:solidFill>
          </w14:textFill>
        </w:rPr>
        <w:t>提出监理项目</w:t>
      </w:r>
      <w:r>
        <w:rPr>
          <w:color w:val="000000" w:themeColor="text1"/>
          <w14:textFill>
            <w14:solidFill>
              <w14:schemeClr w14:val="tx1"/>
            </w14:solidFill>
          </w14:textFill>
        </w:rPr>
        <w:t>履约评价指标</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在通用评价指标基础上，增设专属考核指标，作为履约打分、信用评级、后续合作评价的</w:t>
      </w:r>
      <w:r>
        <w:rPr>
          <w:rFonts w:hint="eastAsia"/>
          <w:color w:val="000000" w:themeColor="text1"/>
          <w14:textFill>
            <w14:solidFill>
              <w14:schemeClr w14:val="tx1"/>
            </w14:solidFill>
          </w14:textFill>
        </w:rPr>
        <w:t>重要</w:t>
      </w:r>
      <w:r>
        <w:rPr>
          <w:color w:val="000000" w:themeColor="text1"/>
          <w14:textFill>
            <w14:solidFill>
              <w14:schemeClr w14:val="tx1"/>
            </w14:solidFill>
          </w14:textFill>
        </w:rPr>
        <w:t>依据</w:t>
      </w:r>
      <w:r>
        <w:rPr>
          <w:rFonts w:hint="eastAsia"/>
          <w:color w:val="000000" w:themeColor="text1"/>
          <w14:textFill>
            <w14:solidFill>
              <w14:schemeClr w14:val="tx1"/>
            </w14:solidFill>
          </w14:textFill>
        </w:rPr>
        <w:t>，包括</w:t>
      </w:r>
      <w:r>
        <w:rPr>
          <w:color w:val="000000" w:themeColor="text1"/>
          <w14:textFill>
            <w14:solidFill>
              <w14:schemeClr w14:val="tx1"/>
            </w14:solidFill>
          </w14:textFill>
        </w:rPr>
        <w:t>考核监理资料完整性与规范性、人员在岗履职情况、施工现场质量安全管控成效。</w:t>
      </w:r>
    </w:p>
    <w:p w14:paraId="7FFC1EC0">
      <w:pPr>
        <w:pStyle w:val="5"/>
        <w:rPr>
          <w:color w:val="000000" w:themeColor="text1"/>
          <w14:textFill>
            <w14:solidFill>
              <w14:schemeClr w14:val="tx1"/>
            </w14:solidFill>
          </w14:textFill>
        </w:rPr>
      </w:pPr>
      <w:bookmarkStart w:id="1126" w:name="_Toc1444198224"/>
      <w:bookmarkStart w:id="1127" w:name="_Toc1832811492"/>
      <w:bookmarkStart w:id="1128" w:name="_Toc1654792890"/>
      <w:bookmarkStart w:id="1129" w:name="_Toc1371889662"/>
      <w:r>
        <w:rPr>
          <w:color w:val="000000" w:themeColor="text1"/>
          <w14:textFill>
            <w14:solidFill>
              <w14:schemeClr w14:val="tx1"/>
            </w14:solidFill>
          </w14:textFill>
        </w:rPr>
        <w:t>13.4  评价方法与程序</w:t>
      </w:r>
      <w:bookmarkEnd w:id="1126"/>
      <w:bookmarkEnd w:id="1127"/>
      <w:bookmarkEnd w:id="1128"/>
      <w:bookmarkEnd w:id="1129"/>
    </w:p>
    <w:p w14:paraId="0634B9F8">
      <w:pPr>
        <w:pStyle w:val="39"/>
        <w:rPr>
          <w:color w:val="000000" w:themeColor="text1"/>
          <w14:textFill>
            <w14:solidFill>
              <w14:schemeClr w14:val="tx1"/>
            </w14:solidFill>
          </w14:textFill>
        </w:rPr>
      </w:pPr>
      <w:r>
        <w:rPr>
          <w:b/>
          <w:color w:val="000000" w:themeColor="text1"/>
          <w14:textFill>
            <w14:solidFill>
              <w14:schemeClr w14:val="tx1"/>
            </w14:solidFill>
          </w14:textFill>
        </w:rPr>
        <w:t xml:space="preserve">13.4.3-13.4.4 </w:t>
      </w:r>
      <w:r>
        <w:rPr>
          <w:color w:val="000000" w:themeColor="text1"/>
          <w14:textFill>
            <w14:solidFill>
              <w14:schemeClr w14:val="tx1"/>
            </w14:solidFill>
          </w14:textFill>
        </w:rPr>
        <w:t xml:space="preserve"> 本条采用过程评价与综合评价相结合的评价方法。过程评价（按月度、季度等周期进行）用于实时纠偏；综合评价在履约验收完成后进行，用于形成最终结论和信用档案。过程评价得分可按合同约定的权重（如30%）计入综合评价。这种设计使评价兼具过程性与终局性。</w:t>
      </w:r>
    </w:p>
    <w:p w14:paraId="2FCF0948">
      <w:pPr>
        <w:pStyle w:val="39"/>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该方法是对《招标人主体责任履行指引》（发改法规〔2025〕1358号）中“绩效评价”管理机制的承接与细化。该指引要求招标人建立“绩效评价”等管理机制以保障主体责任落实。履约评价——特别是综合评价所形成的信用档案——既是招标人履行“绩效评价”责任的具体形式，也是下一轮招标活动中识别优质承包人的信用依据。编制组将履约评价制度纳入本标准，旨在推动招标人将“绩效评价”从内部管理要求转化为标准化的履约管理程序，使评价结果真正服务于后续招标决策。</w:t>
      </w:r>
    </w:p>
    <w:p w14:paraId="34A3CCC0">
      <w:pPr>
        <w:pStyle w:val="5"/>
        <w:rPr>
          <w:color w:val="000000" w:themeColor="text1"/>
          <w14:textFill>
            <w14:solidFill>
              <w14:schemeClr w14:val="tx1"/>
            </w14:solidFill>
          </w14:textFill>
        </w:rPr>
      </w:pPr>
      <w:bookmarkStart w:id="1130" w:name="_Toc1476062762"/>
      <w:bookmarkStart w:id="1131" w:name="_Toc109294490"/>
      <w:bookmarkStart w:id="1132" w:name="_Toc1863520680"/>
      <w:bookmarkStart w:id="1133" w:name="_Toc1763964586"/>
      <w:r>
        <w:rPr>
          <w:color w:val="000000" w:themeColor="text1"/>
          <w14:textFill>
            <w14:solidFill>
              <w14:schemeClr w14:val="tx1"/>
            </w14:solidFill>
          </w14:textFill>
        </w:rPr>
        <w:t>13.6  信用联动与信息共享</w:t>
      </w:r>
      <w:bookmarkEnd w:id="1130"/>
      <w:bookmarkEnd w:id="1131"/>
      <w:bookmarkEnd w:id="1132"/>
      <w:bookmarkEnd w:id="1133"/>
    </w:p>
    <w:p w14:paraId="0AF2A111">
      <w:pPr>
        <w:pStyle w:val="39"/>
        <w:rPr>
          <w:color w:val="000000" w:themeColor="text1"/>
          <w14:textFill>
            <w14:solidFill>
              <w14:schemeClr w14:val="tx1"/>
            </w14:solidFill>
          </w14:textFill>
        </w:rPr>
      </w:pPr>
      <w:r>
        <w:rPr>
          <w:b/>
          <w:color w:val="000000" w:themeColor="text1"/>
          <w14:textFill>
            <w14:solidFill>
              <w14:schemeClr w14:val="tx1"/>
            </w14:solidFill>
          </w14:textFill>
        </w:rPr>
        <w:t>13.6.2-13.6.3</w:t>
      </w:r>
      <w:r>
        <w:rPr>
          <w:color w:val="000000" w:themeColor="text1"/>
          <w14:textFill>
            <w14:solidFill>
              <w14:schemeClr w14:val="tx1"/>
            </w14:solidFill>
          </w14:textFill>
        </w:rPr>
        <w:t xml:space="preserve">  本条旨在构建“两场联动”（招投标市场与施工现场）的数据纽带。履约评价结果如果不能对外共享，就难以形成市场约束力。本条鼓励发包人将评价结果（尤其是“不合格”结论）上传至公共信用信息平台，使一次不良履约行为影响企业在整个市场的投标信誉，从而倒逼承包人自觉履行合同。</w:t>
      </w:r>
    </w:p>
    <w:p w14:paraId="1919CF50">
      <w:pPr>
        <w:pStyle w:val="4"/>
        <w:rPr>
          <w:color w:val="000000" w:themeColor="text1"/>
          <w14:textFill>
            <w14:solidFill>
              <w14:schemeClr w14:val="tx1"/>
            </w14:solidFill>
          </w14:textFill>
        </w:rPr>
      </w:pPr>
      <w:bookmarkStart w:id="1134" w:name="_Toc984319163"/>
      <w:bookmarkStart w:id="1135" w:name="_Toc382075974"/>
      <w:bookmarkStart w:id="1136" w:name="_Toc1698011526"/>
      <w:bookmarkStart w:id="1137" w:name="_Toc382420101"/>
      <w:r>
        <w:rPr>
          <w:color w:val="000000" w:themeColor="text1"/>
          <w14:textFill>
            <w14:solidFill>
              <w14:schemeClr w14:val="tx1"/>
            </w14:solidFill>
          </w14:textFill>
        </w:rPr>
        <w:t>14  争议管理</w:t>
      </w:r>
      <w:bookmarkEnd w:id="1134"/>
      <w:bookmarkEnd w:id="1135"/>
      <w:bookmarkEnd w:id="1136"/>
      <w:bookmarkEnd w:id="1137"/>
    </w:p>
    <w:p w14:paraId="0E32E424">
      <w:pPr>
        <w:pStyle w:val="5"/>
        <w:rPr>
          <w:color w:val="000000" w:themeColor="text1"/>
          <w14:textFill>
            <w14:solidFill>
              <w14:schemeClr w14:val="tx1"/>
            </w14:solidFill>
          </w14:textFill>
        </w:rPr>
      </w:pPr>
      <w:bookmarkStart w:id="1138" w:name="_Toc1914015970"/>
      <w:bookmarkStart w:id="1139" w:name="_Toc565069464"/>
      <w:bookmarkStart w:id="1140" w:name="_Toc469672167"/>
      <w:bookmarkStart w:id="1141" w:name="_Toc294254522"/>
      <w:r>
        <w:rPr>
          <w:color w:val="000000" w:themeColor="text1"/>
          <w14:textFill>
            <w14:solidFill>
              <w14:schemeClr w14:val="tx1"/>
            </w14:solidFill>
          </w14:textFill>
        </w:rPr>
        <w:t>14.2  争议的识别与登记</w:t>
      </w:r>
      <w:bookmarkEnd w:id="1138"/>
      <w:bookmarkEnd w:id="1139"/>
      <w:bookmarkEnd w:id="1140"/>
      <w:bookmarkEnd w:id="1141"/>
    </w:p>
    <w:p w14:paraId="5166F5C5">
      <w:pPr>
        <w:pStyle w:val="39"/>
        <w:rPr>
          <w:color w:val="000000" w:themeColor="text1"/>
          <w14:textFill>
            <w14:solidFill>
              <w14:schemeClr w14:val="tx1"/>
            </w14:solidFill>
          </w14:textFill>
        </w:rPr>
      </w:pPr>
      <w:r>
        <w:rPr>
          <w:b/>
          <w:color w:val="000000" w:themeColor="text1"/>
          <w14:textFill>
            <w14:solidFill>
              <w14:schemeClr w14:val="tx1"/>
            </w14:solidFill>
          </w14:textFill>
        </w:rPr>
        <w:t>14.2.1</w:t>
      </w:r>
      <w:r>
        <w:rPr>
          <w:color w:val="000000" w:themeColor="text1"/>
          <w14:textFill>
            <w14:solidFill>
              <w14:schemeClr w14:val="tx1"/>
            </w14:solidFill>
          </w14:textFill>
        </w:rPr>
        <w:t xml:space="preserve">  争议的识别与登记是争议管理的第一步。很多项目争议因未及时登记、长期搁置，最终演变为重大诉讼或仲裁。本条要求建立争议管理台账，对所有争议事项（无论大小）进行记录，确保每个争议都有状态跟踪和处理结果。重大争议需向单位负责人报告并启动专项程序。</w:t>
      </w:r>
    </w:p>
    <w:p w14:paraId="75EF6559">
      <w:pPr>
        <w:pStyle w:val="5"/>
        <w:rPr>
          <w:color w:val="000000" w:themeColor="text1"/>
          <w14:textFill>
            <w14:solidFill>
              <w14:schemeClr w14:val="tx1"/>
            </w14:solidFill>
          </w14:textFill>
        </w:rPr>
      </w:pPr>
      <w:bookmarkStart w:id="1142" w:name="_Toc593820306"/>
      <w:bookmarkStart w:id="1143" w:name="_Toc1972766855"/>
      <w:bookmarkStart w:id="1144" w:name="_Toc745470059"/>
      <w:bookmarkStart w:id="1145" w:name="_Toc1817977086"/>
      <w:r>
        <w:rPr>
          <w:color w:val="000000" w:themeColor="text1"/>
          <w14:textFill>
            <w14:solidFill>
              <w14:schemeClr w14:val="tx1"/>
            </w14:solidFill>
          </w14:textFill>
        </w:rPr>
        <w:t>14.3  争议的协商与处理</w:t>
      </w:r>
      <w:bookmarkEnd w:id="1142"/>
      <w:bookmarkEnd w:id="1143"/>
      <w:bookmarkEnd w:id="1144"/>
      <w:bookmarkEnd w:id="1145"/>
    </w:p>
    <w:p w14:paraId="7C0FFEEA">
      <w:pPr>
        <w:pStyle w:val="39"/>
        <w:rPr>
          <w:color w:val="000000" w:themeColor="text1"/>
          <w14:textFill>
            <w14:solidFill>
              <w14:schemeClr w14:val="tx1"/>
            </w14:solidFill>
          </w14:textFill>
        </w:rPr>
      </w:pPr>
      <w:r>
        <w:rPr>
          <w:b/>
          <w:color w:val="000000" w:themeColor="text1"/>
          <w14:textFill>
            <w14:solidFill>
              <w14:schemeClr w14:val="tx1"/>
            </w14:solidFill>
          </w14:textFill>
        </w:rPr>
        <w:t>14.3.1-14.3.3</w:t>
      </w:r>
      <w:r>
        <w:rPr>
          <w:color w:val="000000" w:themeColor="text1"/>
          <w14:textFill>
            <w14:solidFill>
              <w14:schemeClr w14:val="tx1"/>
            </w14:solidFill>
          </w14:textFill>
        </w:rPr>
        <w:t xml:space="preserve">  鼓励友好协商，但设定时限。协商是成本最低的争议解决方式，但不应无限期协商。发包人应设定内部协商期限（如收到索赔通知后28天内），期限内无法达成一致的，应立即按合同约定启动调解、仲裁或诉讼程序，防止争议拖累项目整体进展。</w:t>
      </w:r>
    </w:p>
    <w:p w14:paraId="56900B16">
      <w:pPr>
        <w:pStyle w:val="39"/>
        <w:rPr>
          <w:color w:val="000000" w:themeColor="text1"/>
          <w14:textFill>
            <w14:solidFill>
              <w14:schemeClr w14:val="tx1"/>
            </w14:solidFill>
          </w14:textFill>
        </w:rPr>
      </w:pPr>
      <w:r>
        <w:rPr>
          <w:b/>
          <w:color w:val="000000" w:themeColor="text1"/>
          <w14:textFill>
            <w14:solidFill>
              <w14:schemeClr w14:val="tx1"/>
            </w14:solidFill>
          </w14:textFill>
        </w:rPr>
        <w:t xml:space="preserve">14.3.3 </w:t>
      </w:r>
      <w:r>
        <w:rPr>
          <w:color w:val="000000" w:themeColor="text1"/>
          <w14:textFill>
            <w14:solidFill>
              <w14:schemeClr w14:val="tx1"/>
            </w14:solidFill>
          </w14:textFill>
        </w:rPr>
        <w:t xml:space="preserve"> 本条</w:t>
      </w:r>
      <w:r>
        <w:rPr>
          <w:rFonts w:hint="eastAsia"/>
          <w:color w:val="000000" w:themeColor="text1"/>
          <w14:textFill>
            <w14:solidFill>
              <w14:schemeClr w14:val="tx1"/>
            </w14:solidFill>
          </w14:textFill>
        </w:rPr>
        <w:t>第2款提出了</w:t>
      </w:r>
      <w:r>
        <w:rPr>
          <w:color w:val="000000" w:themeColor="text1"/>
          <w14:textFill>
            <w14:solidFill>
              <w14:schemeClr w14:val="tx1"/>
            </w14:solidFill>
          </w14:textFill>
        </w:rPr>
        <w:t>工程总承包项目的“商定或确定”，作为争议提交仲裁或诉讼的前置程序。根据《建设项目工程总承包合同示范文本GF-2020-0216》第3条“发包人的管理”3.6 款“商定或确定”，对工程师的职责做出约定，也呼应3.4.1</w:t>
      </w:r>
      <w:r>
        <w:rPr>
          <w:rFonts w:hint="eastAsia"/>
          <w:color w:val="000000" w:themeColor="text1"/>
          <w14:textFill>
            <w14:solidFill>
              <w14:schemeClr w14:val="tx1"/>
            </w14:solidFill>
          </w14:textFill>
        </w:rPr>
        <w:t>条</w:t>
      </w:r>
      <w:r>
        <w:rPr>
          <w:color w:val="000000" w:themeColor="text1"/>
          <w14:textFill>
            <w14:solidFill>
              <w14:schemeClr w14:val="tx1"/>
            </w14:solidFill>
          </w14:textFill>
        </w:rPr>
        <w:t>发包人“工程师”的履约管理岗位。在工程总承包项目中，合同履行涉及设计、采购、施工、试运行等多个阶段，技术复杂、周期长，合同双方难免对工程量、变更价款、工期延误、质量责任等问题产生分歧。若将每一项争议都提交仲裁或诉讼，不仅成本高昂、周期漫长，更可能导致项目停工、合作关系破裂。为此，国内工程总承包合同示范文本（GF-2020-0216）借鉴国际通行的FIDIC合同条件，引入了“工程师商定或确定”机制。这一机制的最大作用在于确保项目连续性，避免“久争不决”；前置专业判断，弥补司法解决的短板；过滤技术争议，降低争议解决成本，维护合作关系，确保项目在履约中平稳实行。</w:t>
      </w:r>
    </w:p>
    <w:p w14:paraId="6F0641D3">
      <w:pPr>
        <w:pStyle w:val="5"/>
        <w:rPr>
          <w:color w:val="000000" w:themeColor="text1"/>
          <w14:textFill>
            <w14:solidFill>
              <w14:schemeClr w14:val="tx1"/>
            </w14:solidFill>
          </w14:textFill>
        </w:rPr>
      </w:pPr>
      <w:bookmarkStart w:id="1146" w:name="_Toc753092274"/>
      <w:bookmarkStart w:id="1147" w:name="_Toc2141166828"/>
      <w:bookmarkStart w:id="1148" w:name="_Toc1758961077"/>
      <w:bookmarkStart w:id="1149" w:name="_Toc633006879"/>
      <w:r>
        <w:rPr>
          <w:color w:val="000000" w:themeColor="text1"/>
          <w14:textFill>
            <w14:solidFill>
              <w14:schemeClr w14:val="tx1"/>
            </w14:solidFill>
          </w14:textFill>
        </w:rPr>
        <w:t>14.4  争议期间的合同履行</w:t>
      </w:r>
      <w:bookmarkEnd w:id="1146"/>
      <w:bookmarkEnd w:id="1147"/>
      <w:bookmarkEnd w:id="1148"/>
      <w:bookmarkEnd w:id="1149"/>
    </w:p>
    <w:p w14:paraId="5E183F00">
      <w:pPr>
        <w:pStyle w:val="39"/>
        <w:rPr>
          <w:color w:val="000000" w:themeColor="text1"/>
          <w14:textFill>
            <w14:solidFill>
              <w14:schemeClr w14:val="tx1"/>
            </w14:solidFill>
          </w14:textFill>
        </w:rPr>
      </w:pPr>
      <w:r>
        <w:rPr>
          <w:b/>
          <w:color w:val="000000" w:themeColor="text1"/>
          <w14:textFill>
            <w14:solidFill>
              <w14:schemeClr w14:val="tx1"/>
            </w14:solidFill>
          </w14:textFill>
        </w:rPr>
        <w:t>14.4.1</w:t>
      </w:r>
      <w:r>
        <w:rPr>
          <w:color w:val="000000" w:themeColor="text1"/>
          <w14:textFill>
            <w14:solidFill>
              <w14:schemeClr w14:val="tx1"/>
            </w14:solidFill>
          </w14:textFill>
        </w:rPr>
        <w:t xml:space="preserve">  “争议不中止履行”原则。除争议事项外，合同双方应继续履行其他义务。这是国际工程合同管理的通行规则，旨在防止一方以争议为借口恶意停工。因争议确需暂停部分工作的，必须经双方书面确认，并明确停工的起止时间和费用承担。</w:t>
      </w:r>
    </w:p>
    <w:p w14:paraId="6335CCDF">
      <w:pPr>
        <w:pStyle w:val="4"/>
        <w:rPr>
          <w:color w:val="000000" w:themeColor="text1"/>
          <w14:textFill>
            <w14:solidFill>
              <w14:schemeClr w14:val="tx1"/>
            </w14:solidFill>
          </w14:textFill>
        </w:rPr>
      </w:pPr>
      <w:bookmarkStart w:id="1150" w:name="_Toc1849023918"/>
      <w:bookmarkStart w:id="1151" w:name="_Toc92700811"/>
      <w:bookmarkStart w:id="1152" w:name="_Toc1013353589"/>
      <w:bookmarkStart w:id="1153" w:name="_Toc598493114"/>
      <w:r>
        <w:rPr>
          <w:color w:val="000000" w:themeColor="text1"/>
          <w14:textFill>
            <w14:solidFill>
              <w14:schemeClr w14:val="tx1"/>
            </w14:solidFill>
          </w14:textFill>
        </w:rPr>
        <w:t>15  主管部门监督管理</w:t>
      </w:r>
      <w:bookmarkEnd w:id="1150"/>
      <w:bookmarkEnd w:id="1151"/>
      <w:bookmarkEnd w:id="1152"/>
      <w:bookmarkEnd w:id="1153"/>
    </w:p>
    <w:p w14:paraId="22017A1B">
      <w:pPr>
        <w:pStyle w:val="5"/>
        <w:rPr>
          <w:color w:val="000000" w:themeColor="text1"/>
          <w14:textFill>
            <w14:solidFill>
              <w14:schemeClr w14:val="tx1"/>
            </w14:solidFill>
          </w14:textFill>
        </w:rPr>
      </w:pPr>
      <w:bookmarkStart w:id="1154" w:name="_Toc1110902286"/>
      <w:bookmarkStart w:id="1155" w:name="_Toc1149034145"/>
      <w:bookmarkStart w:id="1156" w:name="_Toc283567990"/>
      <w:bookmarkStart w:id="1157" w:name="_Toc2054224424"/>
      <w:r>
        <w:rPr>
          <w:color w:val="000000" w:themeColor="text1"/>
          <w14:textFill>
            <w14:solidFill>
              <w14:schemeClr w14:val="tx1"/>
            </w14:solidFill>
          </w14:textFill>
        </w:rPr>
        <w:t>15.1  一般原则</w:t>
      </w:r>
      <w:bookmarkEnd w:id="1154"/>
      <w:bookmarkEnd w:id="1155"/>
      <w:bookmarkEnd w:id="1156"/>
      <w:bookmarkEnd w:id="1157"/>
    </w:p>
    <w:p w14:paraId="2DB61149">
      <w:pPr>
        <w:pStyle w:val="39"/>
        <w:rPr>
          <w:color w:val="000000" w:themeColor="text1"/>
          <w14:textFill>
            <w14:solidFill>
              <w14:schemeClr w14:val="tx1"/>
            </w14:solidFill>
          </w14:textFill>
        </w:rPr>
      </w:pPr>
      <w:r>
        <w:rPr>
          <w:b/>
          <w:color w:val="000000" w:themeColor="text1"/>
          <w14:textFill>
            <w14:solidFill>
              <w14:schemeClr w14:val="tx1"/>
            </w14:solidFill>
          </w14:textFill>
        </w:rPr>
        <w:t>15.1.1-15.1.3</w:t>
      </w:r>
      <w:r>
        <w:rPr>
          <w:color w:val="000000" w:themeColor="text1"/>
          <w14:textFill>
            <w14:solidFill>
              <w14:schemeClr w14:val="tx1"/>
            </w14:solidFill>
          </w14:textFill>
        </w:rPr>
        <w:t xml:space="preserve">  明确行业主管部门的监督职责。本条将履约监管纳入行政监督范畴，是对“放管服”改革中“加强事中事后监管”要求的落实。主管部门依法检查，各方主体应积极配合，不得拒绝或阻挠。提供虚假资料的，应承担相应法律责任。</w:t>
      </w:r>
    </w:p>
    <w:p w14:paraId="3CC1EF31">
      <w:pPr>
        <w:pStyle w:val="5"/>
        <w:rPr>
          <w:color w:val="000000" w:themeColor="text1"/>
          <w14:textFill>
            <w14:solidFill>
              <w14:schemeClr w14:val="tx1"/>
            </w14:solidFill>
          </w14:textFill>
        </w:rPr>
      </w:pPr>
      <w:bookmarkStart w:id="1158" w:name="_Toc1446826492"/>
      <w:bookmarkStart w:id="1159" w:name="_Toc1375830894"/>
      <w:bookmarkStart w:id="1160" w:name="_Toc1115581629"/>
      <w:bookmarkStart w:id="1161" w:name="_Toc360543977"/>
      <w:r>
        <w:rPr>
          <w:color w:val="000000" w:themeColor="text1"/>
          <w14:textFill>
            <w14:solidFill>
              <w14:schemeClr w14:val="tx1"/>
            </w14:solidFill>
          </w14:textFill>
        </w:rPr>
        <w:t>15.3  问题发现与处理</w:t>
      </w:r>
      <w:bookmarkEnd w:id="1158"/>
      <w:bookmarkEnd w:id="1159"/>
      <w:bookmarkEnd w:id="1160"/>
      <w:bookmarkEnd w:id="1161"/>
    </w:p>
    <w:p w14:paraId="77020430">
      <w:pPr>
        <w:pStyle w:val="39"/>
        <w:rPr>
          <w:color w:val="000000" w:themeColor="text1"/>
          <w14:textFill>
            <w14:solidFill>
              <w14:schemeClr w14:val="tx1"/>
            </w14:solidFill>
          </w14:textFill>
        </w:rPr>
      </w:pPr>
      <w:r>
        <w:rPr>
          <w:b/>
          <w:color w:val="000000" w:themeColor="text1"/>
          <w14:textFill>
            <w14:solidFill>
              <w14:schemeClr w14:val="tx1"/>
            </w14:solidFill>
          </w14:textFill>
        </w:rPr>
        <w:t>15.3.4</w:t>
      </w:r>
      <w:r>
        <w:rPr>
          <w:color w:val="000000" w:themeColor="text1"/>
          <w14:textFill>
            <w14:solidFill>
              <w14:schemeClr w14:val="tx1"/>
            </w14:solidFill>
          </w14:textFill>
        </w:rPr>
        <w:t xml:space="preserve">  主管部门的处理措施分级。根据问题性质和情节轻重，可采取通报批评、记录不良行为、信用扣分、行政处罚等措施。对于严重违法违规行为（如转包、挂靠、偷工减料），应依法从重处罚，并将相关责任单位和人员纳入“黑名单”。</w:t>
      </w:r>
    </w:p>
    <w:p w14:paraId="23679A07">
      <w:pPr>
        <w:pStyle w:val="5"/>
        <w:rPr>
          <w:color w:val="000000" w:themeColor="text1"/>
          <w14:textFill>
            <w14:solidFill>
              <w14:schemeClr w14:val="tx1"/>
            </w14:solidFill>
          </w14:textFill>
        </w:rPr>
      </w:pPr>
      <w:bookmarkStart w:id="1162" w:name="_Toc1589299204"/>
      <w:bookmarkStart w:id="1163" w:name="_Toc1982759033"/>
      <w:bookmarkStart w:id="1164" w:name="_Toc1119045609"/>
      <w:bookmarkStart w:id="1165" w:name="_Toc1725467408"/>
      <w:r>
        <w:rPr>
          <w:color w:val="000000" w:themeColor="text1"/>
          <w14:textFill>
            <w14:solidFill>
              <w14:schemeClr w14:val="tx1"/>
            </w14:solidFill>
          </w14:textFill>
        </w:rPr>
        <w:t>15.4  信用管理与信息报送</w:t>
      </w:r>
      <w:bookmarkEnd w:id="1162"/>
      <w:bookmarkEnd w:id="1163"/>
      <w:bookmarkEnd w:id="1164"/>
      <w:bookmarkEnd w:id="1165"/>
    </w:p>
    <w:p w14:paraId="588CCA4B">
      <w:pPr>
        <w:pStyle w:val="39"/>
        <w:rPr>
          <w:color w:val="000000" w:themeColor="text1"/>
          <w14:textFill>
            <w14:solidFill>
              <w14:schemeClr w14:val="tx1"/>
            </w14:solidFill>
          </w14:textFill>
        </w:rPr>
      </w:pPr>
      <w:r>
        <w:rPr>
          <w:b/>
          <w:color w:val="000000" w:themeColor="text1"/>
          <w14:textFill>
            <w14:solidFill>
              <w14:schemeClr w14:val="tx1"/>
            </w14:solidFill>
          </w14:textFill>
        </w:rPr>
        <w:t>15.4.2</w:t>
      </w:r>
      <w:r>
        <w:rPr>
          <w:color w:val="000000" w:themeColor="text1"/>
          <w14:textFill>
            <w14:solidFill>
              <w14:schemeClr w14:val="tx1"/>
            </w14:solidFill>
          </w14:textFill>
        </w:rPr>
        <w:t xml:space="preserve">  跨部门联合惩戒是信用体系建设的趋势。主管部门应将履约监管结果与招标投标、资质管理、评优评先等联动应用。例如：履约评价不合格的企业，在一定期限内限制其参与政府投资项目投标；不良行为记录与市场监管、税务、金融等部门共享，形成“一处失信、处处受限”的格局。</w:t>
      </w:r>
    </w:p>
    <w:p w14:paraId="2C399197">
      <w:pPr>
        <w:pStyle w:val="4"/>
        <w:rPr>
          <w:color w:val="000000" w:themeColor="text1"/>
          <w14:textFill>
            <w14:solidFill>
              <w14:schemeClr w14:val="tx1"/>
            </w14:solidFill>
          </w14:textFill>
        </w:rPr>
      </w:pPr>
      <w:bookmarkStart w:id="1166" w:name="_Toc2073197437"/>
      <w:bookmarkStart w:id="1167" w:name="_Toc1415641216"/>
      <w:bookmarkStart w:id="1168" w:name="_Toc1805357099"/>
      <w:bookmarkStart w:id="1169" w:name="_Toc218031255"/>
      <w:r>
        <w:rPr>
          <w:color w:val="000000" w:themeColor="text1"/>
          <w14:textFill>
            <w14:solidFill>
              <w14:schemeClr w14:val="tx1"/>
            </w14:solidFill>
          </w14:textFill>
        </w:rPr>
        <w:t>16  履约管理数智化</w:t>
      </w:r>
      <w:bookmarkEnd w:id="1166"/>
      <w:bookmarkEnd w:id="1167"/>
      <w:bookmarkEnd w:id="1168"/>
      <w:bookmarkEnd w:id="1169"/>
    </w:p>
    <w:p w14:paraId="37930860">
      <w:pPr>
        <w:pStyle w:val="5"/>
        <w:rPr>
          <w:color w:val="000000" w:themeColor="text1"/>
          <w14:textFill>
            <w14:solidFill>
              <w14:schemeClr w14:val="tx1"/>
            </w14:solidFill>
          </w14:textFill>
        </w:rPr>
      </w:pPr>
      <w:bookmarkStart w:id="1170" w:name="_Toc2110885893"/>
      <w:bookmarkStart w:id="1171" w:name="_Toc1054267530"/>
      <w:bookmarkStart w:id="1172" w:name="_Toc1910625150"/>
      <w:bookmarkStart w:id="1173" w:name="_Toc2104636781"/>
      <w:r>
        <w:rPr>
          <w:color w:val="000000" w:themeColor="text1"/>
          <w14:textFill>
            <w14:solidFill>
              <w14:schemeClr w14:val="tx1"/>
            </w14:solidFill>
          </w14:textFill>
        </w:rPr>
        <w:t>16.1  一般规定</w:t>
      </w:r>
      <w:bookmarkEnd w:id="1170"/>
      <w:bookmarkEnd w:id="1171"/>
      <w:bookmarkEnd w:id="1172"/>
      <w:bookmarkEnd w:id="1173"/>
    </w:p>
    <w:p w14:paraId="1EB51F65">
      <w:pPr>
        <w:pStyle w:val="39"/>
        <w:rPr>
          <w:color w:val="000000" w:themeColor="text1"/>
          <w14:textFill>
            <w14:solidFill>
              <w14:schemeClr w14:val="tx1"/>
            </w14:solidFill>
          </w14:textFill>
        </w:rPr>
      </w:pPr>
      <w:r>
        <w:rPr>
          <w:b/>
          <w:color w:val="000000" w:themeColor="text1"/>
          <w14:textFill>
            <w14:solidFill>
              <w14:schemeClr w14:val="tx1"/>
            </w14:solidFill>
          </w14:textFill>
        </w:rPr>
        <w:t>16.1.1-16.1.3</w:t>
      </w:r>
      <w:r>
        <w:rPr>
          <w:color w:val="000000" w:themeColor="text1"/>
          <w14:textFill>
            <w14:solidFill>
              <w14:schemeClr w14:val="tx1"/>
            </w14:solidFill>
          </w14:textFill>
        </w:rPr>
        <w:t xml:space="preserve">  数智化是提升履约管理效率的重要途径，但不是目的。发包人应避免“为建平台而建平台”，平台建设必须与实际管理制度相匹配，服务于“履约清单管理、过程记录、问题跟踪、验收评价、信用联动”等核心业务需求，否则容易沦为“摆设”。</w:t>
      </w:r>
    </w:p>
    <w:p w14:paraId="25823B56">
      <w:pPr>
        <w:pStyle w:val="5"/>
        <w:rPr>
          <w:color w:val="000000" w:themeColor="text1"/>
          <w14:textFill>
            <w14:solidFill>
              <w14:schemeClr w14:val="tx1"/>
            </w14:solidFill>
          </w14:textFill>
        </w:rPr>
      </w:pPr>
      <w:bookmarkStart w:id="1174" w:name="_Toc1160360626"/>
      <w:bookmarkStart w:id="1175" w:name="_Toc1423191061"/>
      <w:bookmarkStart w:id="1176" w:name="_Toc1220837879"/>
      <w:bookmarkStart w:id="1177" w:name="_Toc96976827"/>
      <w:r>
        <w:rPr>
          <w:color w:val="000000" w:themeColor="text1"/>
          <w14:textFill>
            <w14:solidFill>
              <w14:schemeClr w14:val="tx1"/>
            </w14:solidFill>
          </w14:textFill>
        </w:rPr>
        <w:t>16.2  数智化管理平台</w:t>
      </w:r>
      <w:bookmarkEnd w:id="1174"/>
      <w:bookmarkEnd w:id="1175"/>
      <w:bookmarkEnd w:id="1176"/>
      <w:bookmarkEnd w:id="1177"/>
    </w:p>
    <w:p w14:paraId="102B1D53">
      <w:pPr>
        <w:pStyle w:val="39"/>
        <w:rPr>
          <w:color w:val="000000" w:themeColor="text1"/>
          <w14:textFill>
            <w14:solidFill>
              <w14:schemeClr w14:val="tx1"/>
            </w14:solidFill>
          </w14:textFill>
        </w:rPr>
      </w:pPr>
      <w:r>
        <w:rPr>
          <w:b/>
          <w:color w:val="000000" w:themeColor="text1"/>
          <w14:textFill>
            <w14:solidFill>
              <w14:schemeClr w14:val="tx1"/>
            </w14:solidFill>
          </w14:textFill>
        </w:rPr>
        <w:t>16.2.1</w:t>
      </w:r>
      <w:r>
        <w:rPr>
          <w:color w:val="000000" w:themeColor="text1"/>
          <w14:textFill>
            <w14:solidFill>
              <w14:schemeClr w14:val="tx1"/>
            </w14:solidFill>
          </w14:textFill>
        </w:rPr>
        <w:t xml:space="preserve">  平台应具备的核心功能。本条列出了6项必备功能，其中“合同管理与履约清单管理”“履约过程记录与问题跟踪”“履约验收与履约评价”是核心中的核心。平台应支持移动端操作（如现场检查、拍照上传、问题整改），以适应工程现场作业特点。</w:t>
      </w:r>
    </w:p>
    <w:p w14:paraId="2FAEC147">
      <w:pPr>
        <w:pStyle w:val="39"/>
        <w:rPr>
          <w:color w:val="000000" w:themeColor="text1"/>
          <w14:textFill>
            <w14:solidFill>
              <w14:schemeClr w14:val="tx1"/>
            </w14:solidFill>
          </w14:textFill>
        </w:rPr>
      </w:pPr>
      <w:r>
        <w:rPr>
          <w:b/>
          <w:color w:val="000000" w:themeColor="text1"/>
          <w14:textFill>
            <w14:solidFill>
              <w14:schemeClr w14:val="tx1"/>
            </w14:solidFill>
          </w14:textFill>
        </w:rPr>
        <w:t>16.2.3</w:t>
      </w:r>
      <w:r>
        <w:rPr>
          <w:color w:val="000000" w:themeColor="text1"/>
          <w14:textFill>
            <w14:solidFill>
              <w14:schemeClr w14:val="tx1"/>
            </w14:solidFill>
          </w14:textFill>
        </w:rPr>
        <w:t xml:space="preserve">  本条为鼓励性条款，应结合当前行业应用实际和地区发展差异执行。发包人可将智慧工地建设情况纳入履约评价指标体系，通过评价激励引导承包人积极应用智能建造技术。</w:t>
      </w:r>
    </w:p>
    <w:p w14:paraId="5E39A066">
      <w:pPr>
        <w:adjustRightInd w:val="0"/>
        <w:snapToGrid w:val="0"/>
        <w:ind w:firstLine="420" w:firstLineChars="20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本条</w:t>
      </w:r>
      <w:r>
        <w:rPr>
          <w:rFonts w:hint="eastAsia" w:ascii="Times New Roman" w:hAnsi="Times New Roman"/>
          <w:color w:val="000000" w:themeColor="text1"/>
          <w:sz w:val="21"/>
          <w:szCs w:val="21"/>
          <w14:textFill>
            <w14:solidFill>
              <w14:schemeClr w14:val="tx1"/>
            </w14:solidFill>
          </w14:textFill>
        </w:rPr>
        <w:t>第2款提出鼓励</w:t>
      </w:r>
      <w:r>
        <w:rPr>
          <w:rFonts w:ascii="Times New Roman" w:hAnsi="Times New Roman"/>
          <w:color w:val="000000" w:themeColor="text1"/>
          <w:sz w:val="21"/>
          <w:szCs w:val="21"/>
          <w14:textFill>
            <w14:solidFill>
              <w14:schemeClr w14:val="tx1"/>
            </w14:solidFill>
          </w14:textFill>
        </w:rPr>
        <w:t>工程总承包</w:t>
      </w:r>
      <w:r>
        <w:rPr>
          <w:rFonts w:hint="eastAsia" w:ascii="Times New Roman" w:hAnsi="Times New Roman"/>
          <w:color w:val="000000" w:themeColor="text1"/>
          <w:sz w:val="21"/>
          <w:szCs w:val="21"/>
          <w14:textFill>
            <w14:solidFill>
              <w14:schemeClr w14:val="tx1"/>
            </w14:solidFill>
          </w14:textFill>
        </w:rPr>
        <w:t>项目积极建立应用</w:t>
      </w:r>
      <w:r>
        <w:rPr>
          <w:rFonts w:ascii="Times New Roman" w:hAnsi="Times New Roman"/>
          <w:color w:val="000000" w:themeColor="text1"/>
          <w:sz w:val="21"/>
          <w:szCs w:val="21"/>
          <w14:textFill>
            <w14:solidFill>
              <w14:schemeClr w14:val="tx1"/>
            </w14:solidFill>
          </w14:textFill>
        </w:rPr>
        <w:t>数智化协同平台应用</w:t>
      </w:r>
      <w:r>
        <w:rPr>
          <w:rFonts w:hint="eastAsia" w:ascii="Times New Roman" w:hAnsi="Times New Roman"/>
          <w:color w:val="000000" w:themeColor="text1"/>
          <w:sz w:val="21"/>
          <w:szCs w:val="21"/>
          <w14:textFill>
            <w14:solidFill>
              <w14:schemeClr w14:val="tx1"/>
            </w14:solidFill>
          </w14:textFill>
        </w:rPr>
        <w:t>管理，其</w:t>
      </w:r>
      <w:r>
        <w:rPr>
          <w:rFonts w:ascii="Times New Roman" w:hAnsi="Times New Roman"/>
          <w:color w:val="000000" w:themeColor="text1"/>
          <w:sz w:val="21"/>
          <w:szCs w:val="21"/>
          <w14:textFill>
            <w14:solidFill>
              <w14:schemeClr w14:val="tx1"/>
            </w14:solidFill>
          </w14:textFill>
        </w:rPr>
        <w:t>功能需求</w:t>
      </w:r>
      <w:r>
        <w:rPr>
          <w:rFonts w:hint="eastAsia" w:ascii="Times New Roman" w:hAnsi="Times New Roman"/>
          <w:color w:val="000000" w:themeColor="text1"/>
          <w:sz w:val="21"/>
          <w:szCs w:val="21"/>
          <w14:textFill>
            <w14:solidFill>
              <w14:schemeClr w14:val="tx1"/>
            </w14:solidFill>
          </w14:textFill>
        </w:rPr>
        <w:t>应包括</w:t>
      </w:r>
      <w:r>
        <w:rPr>
          <w:rFonts w:ascii="Times New Roman" w:hAnsi="Times New Roman"/>
          <w:color w:val="000000" w:themeColor="text1"/>
          <w:sz w:val="21"/>
          <w:szCs w:val="21"/>
          <w14:textFill>
            <w14:solidFill>
              <w14:schemeClr w14:val="tx1"/>
            </w14:solidFill>
          </w14:textFill>
        </w:rPr>
        <w:t>设计、采购、施工、试运行各阶段模型集成与共享</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多专业协同审查与碰撞检查</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设计变更的线上审批与版本管理</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施工进度模拟与可视化交底</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 xml:space="preserve"> 工程量辅助审核</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竣工模型交付与运维数据对接</w:t>
      </w:r>
      <w:r>
        <w:rPr>
          <w:rFonts w:hint="eastAsia" w:ascii="Times New Roman" w:hAnsi="Times New Roman"/>
          <w:color w:val="000000" w:themeColor="text1"/>
          <w:sz w:val="21"/>
          <w:szCs w:val="21"/>
          <w14:textFill>
            <w14:solidFill>
              <w14:schemeClr w14:val="tx1"/>
            </w14:solidFill>
          </w14:textFill>
        </w:rPr>
        <w:t>等内容，</w:t>
      </w:r>
      <w:r>
        <w:rPr>
          <w:rFonts w:ascii="Times New Roman" w:hAnsi="Times New Roman"/>
          <w:color w:val="000000" w:themeColor="text1"/>
          <w:sz w:val="21"/>
          <w:szCs w:val="21"/>
          <w14:textFill>
            <w14:solidFill>
              <w14:schemeClr w14:val="tx1"/>
            </w14:solidFill>
          </w14:textFill>
        </w:rPr>
        <w:t>作为发包人在履约管理中的技术要求参考。</w:t>
      </w:r>
    </w:p>
    <w:p w14:paraId="32866960">
      <w:pPr>
        <w:pStyle w:val="39"/>
        <w:rPr>
          <w:color w:val="000000" w:themeColor="text1"/>
          <w14:textFill>
            <w14:solidFill>
              <w14:schemeClr w14:val="tx1"/>
            </w14:solidFill>
          </w14:textFill>
        </w:rPr>
      </w:pPr>
      <w:r>
        <w:rPr>
          <w:color w:val="000000" w:themeColor="text1"/>
          <w14:textFill>
            <w14:solidFill>
              <w14:schemeClr w14:val="tx1"/>
            </w14:solidFill>
          </w14:textFill>
        </w:rPr>
        <w:t>工程总承包项目具有投资规模大、长周期、参与方众多、信息交互复杂等特点，传统以纸质文件传递、线下会议协调为主的管理模式，难以满足设计、采购、施工、试运行全过程一体化协同的需求。数智化协同平台（通常以BIM技术为核心，集成项目管理信息系统）的应用，为破解这一困局提供了技术支撑。在传统模式下，设计、采购、施工、试运行各阶段使用不同的软件系统，数据格式不统一、接口不兼容，容易形成“信息孤岛”。数智化协同平台建立统一的数据环境，使各阶段、各参与方基于同一模型、同一套数据进行工作。鼓励数智化协同平台在工程总承包项目中的应用，是将项目管理从“经验驱动、线下协同”转向“数据驱动、线上协同”，适应了工程总承包模式发展的方向。分则列举的几项平台应用参考功能需求是工程总承包项目实现“高水平履约、高质量交付”的重要技术保障。</w:t>
      </w:r>
    </w:p>
    <w:p w14:paraId="6110ACC7">
      <w:pPr>
        <w:pStyle w:val="5"/>
        <w:rPr>
          <w:color w:val="000000" w:themeColor="text1"/>
          <w14:textFill>
            <w14:solidFill>
              <w14:schemeClr w14:val="tx1"/>
            </w14:solidFill>
          </w14:textFill>
        </w:rPr>
      </w:pPr>
      <w:bookmarkStart w:id="1178" w:name="_Toc389349649"/>
      <w:bookmarkStart w:id="1179" w:name="_Toc801077120"/>
      <w:bookmarkStart w:id="1180" w:name="_Toc494226714"/>
      <w:bookmarkStart w:id="1181" w:name="_Toc599987747"/>
      <w:r>
        <w:rPr>
          <w:color w:val="000000" w:themeColor="text1"/>
          <w14:textFill>
            <w14:solidFill>
              <w14:schemeClr w14:val="tx1"/>
            </w14:solidFill>
          </w14:textFill>
        </w:rPr>
        <w:t>16.3  数据采集与管理</w:t>
      </w:r>
      <w:bookmarkEnd w:id="1178"/>
      <w:bookmarkEnd w:id="1179"/>
      <w:bookmarkEnd w:id="1180"/>
      <w:bookmarkEnd w:id="1181"/>
    </w:p>
    <w:p w14:paraId="57C12DE6">
      <w:pPr>
        <w:pStyle w:val="39"/>
        <w:rPr>
          <w:color w:val="000000" w:themeColor="text1"/>
          <w14:textFill>
            <w14:solidFill>
              <w14:schemeClr w14:val="tx1"/>
            </w14:solidFill>
          </w14:textFill>
        </w:rPr>
      </w:pPr>
      <w:r>
        <w:rPr>
          <w:b/>
          <w:color w:val="000000" w:themeColor="text1"/>
          <w14:textFill>
            <w14:solidFill>
              <w14:schemeClr w14:val="tx1"/>
            </w14:solidFill>
          </w14:textFill>
        </w:rPr>
        <w:t>16.3.2</w:t>
      </w:r>
      <w:r>
        <w:rPr>
          <w:color w:val="000000" w:themeColor="text1"/>
          <w14:textFill>
            <w14:solidFill>
              <w14:schemeClr w14:val="tx1"/>
            </w14:solidFill>
          </w14:textFill>
        </w:rPr>
        <w:t xml:space="preserve">  智能建造过程数据的接入。本条呼应了《建筑与市政工程智能建造标准》的相关要求。对于应用了BIM、物联网、建筑机器人等技术的项目，其产生的过程数据（如实测实量数据、安全监测数据、进度模拟数据）应自动接入履约管理平台，作为客观、实时的履约证据，减少人工填报的误差和延迟。</w:t>
      </w:r>
    </w:p>
    <w:p w14:paraId="25335F76">
      <w:pPr>
        <w:pStyle w:val="5"/>
      </w:pPr>
      <w:bookmarkStart w:id="1182" w:name="_Toc313430929"/>
      <w:bookmarkStart w:id="1183" w:name="_Toc1001934147"/>
      <w:bookmarkStart w:id="1184" w:name="_Toc280410840"/>
      <w:bookmarkStart w:id="1185" w:name="_Toc163624850"/>
      <w:r>
        <w:t>16.4  智能化应用</w:t>
      </w:r>
      <w:bookmarkEnd w:id="1182"/>
      <w:bookmarkEnd w:id="1183"/>
      <w:bookmarkEnd w:id="1184"/>
      <w:bookmarkEnd w:id="1185"/>
    </w:p>
    <w:p w14:paraId="3EE1F946">
      <w:pPr>
        <w:pStyle w:val="39"/>
      </w:pPr>
      <w:r>
        <w:rPr>
          <w:b/>
        </w:rPr>
        <w:t>16.4.1-16.4.2</w:t>
      </w:r>
      <w:r>
        <w:t xml:space="preserve">  智能化应用方向。发包人可利用大数据分析，自动识别履约风险（如某承包人多个项目同时进度滞后、人员更换频繁等）。将履约评价指标嵌入平台，实现评价数据的自动采集（如考勤数据自动计算到岗率）和自动评分，大幅降低人工评价的工作量和主观性。</w:t>
      </w:r>
    </w:p>
    <w:p w14:paraId="7E24D03D">
      <w:pPr>
        <w:pStyle w:val="5"/>
      </w:pPr>
      <w:bookmarkStart w:id="1186" w:name="_Toc802287458"/>
      <w:bookmarkStart w:id="1187" w:name="_Toc324512581"/>
      <w:bookmarkStart w:id="1188" w:name="_Toc1154288128"/>
      <w:bookmarkStart w:id="1189" w:name="_Toc733749033"/>
      <w:r>
        <w:t>16.5  数据安全与合规</w:t>
      </w:r>
      <w:bookmarkEnd w:id="1186"/>
      <w:bookmarkEnd w:id="1187"/>
      <w:bookmarkEnd w:id="1188"/>
      <w:bookmarkEnd w:id="1189"/>
    </w:p>
    <w:p w14:paraId="65559DE2">
      <w:pPr>
        <w:pStyle w:val="39"/>
      </w:pPr>
      <w:r>
        <w:rPr>
          <w:b/>
        </w:rPr>
        <w:t>16.5.1-16.5.3</w:t>
      </w:r>
      <w:r>
        <w:t xml:space="preserve">  数据安全与合规是数智化管理的前提。履约数据涉及商业秘密甚至国家秘密（如国防工程），必须进行分类分级管理。发包人应遵守《数据安全法》《个人信息保护法》等法律法规，对人员身份信息等敏感数据进行脱敏处理。数据备份和容灾机制是防止数据丢失的最后一道防线。</w:t>
      </w:r>
    </w:p>
    <w:bookmarkEnd w:id="946"/>
    <w:p w14:paraId="489A39D1">
      <w:pPr>
        <w:widowControl/>
        <w:spacing w:line="240" w:lineRule="auto"/>
        <w:jc w:val="left"/>
        <w:rPr>
          <w:strike/>
        </w:rPr>
      </w:pPr>
    </w:p>
    <w:sectPr>
      <w:footerReference r:id="rId12" w:type="default"/>
      <w:pgSz w:w="11906" w:h="16838"/>
      <w:pgMar w:top="1417" w:right="1701" w:bottom="1417" w:left="1701"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26A0D3-2F13-48F3-9AAF-3E06A0FB07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4189AE8-7999-4E64-8145-A8C506ED138A}"/>
  </w:font>
  <w:font w:name="楷体_GB2312">
    <w:panose1 w:val="02010609030101010101"/>
    <w:charset w:val="86"/>
    <w:family w:val="roman"/>
    <w:pitch w:val="default"/>
    <w:sig w:usb0="00000001" w:usb1="080E0000" w:usb2="00000000" w:usb3="00000000" w:csb0="00040000" w:csb1="00000000"/>
    <w:embedRegular r:id="rId3" w:fontKey="{132C2BE4-31FC-4506-A365-D8EE8CCF4399}"/>
  </w:font>
  <w:font w:name="方正黑体简体">
    <w:altName w:val="微软雅黑"/>
    <w:panose1 w:val="00000000000000000000"/>
    <w:charset w:val="00"/>
    <w:family w:val="script"/>
    <w:pitch w:val="default"/>
    <w:sig w:usb0="00000000" w:usb1="00000000" w:usb2="00000010" w:usb3="00000000" w:csb0="00040000" w:csb1="00000000"/>
    <w:embedRegular r:id="rId4" w:fontKey="{7C527027-F26D-43D1-8401-B090EE1090C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9EDF0">
    <w:pPr>
      <w:pStyle w:val="14"/>
      <w:jc w:val="center"/>
    </w:pPr>
  </w:p>
  <w:p w14:paraId="20A9D580">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7B8F1">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14:paraId="52FEDE99">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5251F">
    <w:pPr>
      <w:pStyle w:val="14"/>
      <w:jc w:val="center"/>
    </w:pPr>
  </w:p>
  <w:p w14:paraId="57FDE89B">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02155">
    <w:pPr>
      <w:pStyle w:val="14"/>
      <w:framePr w:wrap="around" w:vAnchor="text" w:hAnchor="margin" w:xAlign="center" w:y="1"/>
      <w:ind w:firstLine="360"/>
      <w:rPr>
        <w:rStyle w:val="26"/>
      </w:rPr>
    </w:pPr>
    <w:r>
      <w:rPr>
        <w:rStyle w:val="26"/>
      </w:rPr>
      <w:fldChar w:fldCharType="begin"/>
    </w:r>
    <w:r>
      <w:rPr>
        <w:rStyle w:val="26"/>
      </w:rPr>
      <w:instrText xml:space="preserve">PAGE  </w:instrText>
    </w:r>
    <w:r>
      <w:rPr>
        <w:rStyle w:val="26"/>
      </w:rPr>
      <w:fldChar w:fldCharType="end"/>
    </w:r>
  </w:p>
  <w:p w14:paraId="686B6E2D">
    <w:pPr>
      <w:pStyle w:val="1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BA907">
    <w:pPr>
      <w:pStyle w:val="14"/>
      <w:jc w:val="center"/>
    </w:pPr>
  </w:p>
  <w:p w14:paraId="5380326E">
    <w:pPr>
      <w:pStyle w:val="1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rPr>
      <w:id w:val="854693562"/>
    </w:sdtPr>
    <w:sdtEndPr>
      <w:rPr>
        <w:rFonts w:ascii="Times New Roman" w:hAnsi="Times New Roman"/>
      </w:rPr>
    </w:sdtEndPr>
    <w:sdtContent>
      <w:p w14:paraId="53BD593A">
        <w:pPr>
          <w:pStyle w:val="14"/>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sdtContent>
  </w:sdt>
  <w:p w14:paraId="2214F0FF">
    <w:pPr>
      <w:pStyle w:val="14"/>
      <w:ind w:firstLine="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D7183">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DE638">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60F38"/>
    <w:multiLevelType w:val="singleLevel"/>
    <w:tmpl w:val="FF960F3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FF1916"/>
    <w:rsid w:val="000172FC"/>
    <w:rsid w:val="00030BDF"/>
    <w:rsid w:val="00031E64"/>
    <w:rsid w:val="000456B1"/>
    <w:rsid w:val="000466A7"/>
    <w:rsid w:val="00060FF4"/>
    <w:rsid w:val="000700F5"/>
    <w:rsid w:val="00070491"/>
    <w:rsid w:val="00071147"/>
    <w:rsid w:val="00072D1A"/>
    <w:rsid w:val="00080AE3"/>
    <w:rsid w:val="000A05E1"/>
    <w:rsid w:val="000D3721"/>
    <w:rsid w:val="000D7C5C"/>
    <w:rsid w:val="000F4021"/>
    <w:rsid w:val="00104C28"/>
    <w:rsid w:val="001232E2"/>
    <w:rsid w:val="00124F50"/>
    <w:rsid w:val="00136DFB"/>
    <w:rsid w:val="00181D18"/>
    <w:rsid w:val="001855DC"/>
    <w:rsid w:val="00194A17"/>
    <w:rsid w:val="001C44B5"/>
    <w:rsid w:val="001C4692"/>
    <w:rsid w:val="001D0A08"/>
    <w:rsid w:val="001D6680"/>
    <w:rsid w:val="001E0B62"/>
    <w:rsid w:val="001F1B9E"/>
    <w:rsid w:val="001F7175"/>
    <w:rsid w:val="002113C4"/>
    <w:rsid w:val="00253928"/>
    <w:rsid w:val="00261D69"/>
    <w:rsid w:val="00264E89"/>
    <w:rsid w:val="002A40E7"/>
    <w:rsid w:val="002A489B"/>
    <w:rsid w:val="002B609C"/>
    <w:rsid w:val="002C4714"/>
    <w:rsid w:val="002D147C"/>
    <w:rsid w:val="002D6057"/>
    <w:rsid w:val="002E7F11"/>
    <w:rsid w:val="00320A52"/>
    <w:rsid w:val="00333455"/>
    <w:rsid w:val="00341AAA"/>
    <w:rsid w:val="00344E6F"/>
    <w:rsid w:val="00352D4D"/>
    <w:rsid w:val="00365081"/>
    <w:rsid w:val="003841F1"/>
    <w:rsid w:val="003B4314"/>
    <w:rsid w:val="003C73F7"/>
    <w:rsid w:val="003F7CAA"/>
    <w:rsid w:val="00402070"/>
    <w:rsid w:val="00405989"/>
    <w:rsid w:val="00420167"/>
    <w:rsid w:val="00421E89"/>
    <w:rsid w:val="00462A6F"/>
    <w:rsid w:val="00470D5C"/>
    <w:rsid w:val="004727A4"/>
    <w:rsid w:val="00484A99"/>
    <w:rsid w:val="0048594C"/>
    <w:rsid w:val="0048734F"/>
    <w:rsid w:val="00487632"/>
    <w:rsid w:val="004B4BB8"/>
    <w:rsid w:val="004E7F1A"/>
    <w:rsid w:val="004F7F8D"/>
    <w:rsid w:val="00502F3B"/>
    <w:rsid w:val="00560A4D"/>
    <w:rsid w:val="00565644"/>
    <w:rsid w:val="00581957"/>
    <w:rsid w:val="00591ABC"/>
    <w:rsid w:val="005B537A"/>
    <w:rsid w:val="006134A7"/>
    <w:rsid w:val="00640B45"/>
    <w:rsid w:val="0065195C"/>
    <w:rsid w:val="00704991"/>
    <w:rsid w:val="00710368"/>
    <w:rsid w:val="00713CEE"/>
    <w:rsid w:val="00730913"/>
    <w:rsid w:val="00730E5A"/>
    <w:rsid w:val="00746FC5"/>
    <w:rsid w:val="0075190B"/>
    <w:rsid w:val="00753ECA"/>
    <w:rsid w:val="00774D3A"/>
    <w:rsid w:val="0077706E"/>
    <w:rsid w:val="0077739C"/>
    <w:rsid w:val="007B1F31"/>
    <w:rsid w:val="007B4AC2"/>
    <w:rsid w:val="007E2DF7"/>
    <w:rsid w:val="00807881"/>
    <w:rsid w:val="008119D8"/>
    <w:rsid w:val="00813924"/>
    <w:rsid w:val="00824074"/>
    <w:rsid w:val="00846A09"/>
    <w:rsid w:val="00883584"/>
    <w:rsid w:val="00891792"/>
    <w:rsid w:val="008D27AA"/>
    <w:rsid w:val="00904C76"/>
    <w:rsid w:val="00925A5B"/>
    <w:rsid w:val="009333C8"/>
    <w:rsid w:val="0094330A"/>
    <w:rsid w:val="009459C1"/>
    <w:rsid w:val="00974EBD"/>
    <w:rsid w:val="009766C9"/>
    <w:rsid w:val="009842AC"/>
    <w:rsid w:val="009A2B9B"/>
    <w:rsid w:val="009E1ABE"/>
    <w:rsid w:val="00A1168F"/>
    <w:rsid w:val="00A16AE6"/>
    <w:rsid w:val="00A3078A"/>
    <w:rsid w:val="00A35C1F"/>
    <w:rsid w:val="00A51DB2"/>
    <w:rsid w:val="00A64323"/>
    <w:rsid w:val="00A77088"/>
    <w:rsid w:val="00A927AD"/>
    <w:rsid w:val="00A93D10"/>
    <w:rsid w:val="00A95946"/>
    <w:rsid w:val="00AB5257"/>
    <w:rsid w:val="00AE4D32"/>
    <w:rsid w:val="00AE680A"/>
    <w:rsid w:val="00B06C32"/>
    <w:rsid w:val="00B204EB"/>
    <w:rsid w:val="00B215FF"/>
    <w:rsid w:val="00B25C32"/>
    <w:rsid w:val="00B64E7E"/>
    <w:rsid w:val="00B67561"/>
    <w:rsid w:val="00B71B6F"/>
    <w:rsid w:val="00BA674F"/>
    <w:rsid w:val="00BB33C1"/>
    <w:rsid w:val="00BD5141"/>
    <w:rsid w:val="00BE773D"/>
    <w:rsid w:val="00C03435"/>
    <w:rsid w:val="00C26DF5"/>
    <w:rsid w:val="00C3140E"/>
    <w:rsid w:val="00C40757"/>
    <w:rsid w:val="00C53FB3"/>
    <w:rsid w:val="00C71E7A"/>
    <w:rsid w:val="00C85105"/>
    <w:rsid w:val="00CE6A39"/>
    <w:rsid w:val="00D06629"/>
    <w:rsid w:val="00D51D25"/>
    <w:rsid w:val="00D81E63"/>
    <w:rsid w:val="00D85EB8"/>
    <w:rsid w:val="00DA299A"/>
    <w:rsid w:val="00DA4EA8"/>
    <w:rsid w:val="00E21957"/>
    <w:rsid w:val="00E37EF5"/>
    <w:rsid w:val="00E42ECD"/>
    <w:rsid w:val="00E578F8"/>
    <w:rsid w:val="00E623B1"/>
    <w:rsid w:val="00E815FC"/>
    <w:rsid w:val="00E841C6"/>
    <w:rsid w:val="00E84D73"/>
    <w:rsid w:val="00E8642A"/>
    <w:rsid w:val="00E869D1"/>
    <w:rsid w:val="00EA28FC"/>
    <w:rsid w:val="00EC0461"/>
    <w:rsid w:val="00EC75E6"/>
    <w:rsid w:val="00EE4DDA"/>
    <w:rsid w:val="00F05588"/>
    <w:rsid w:val="00F47931"/>
    <w:rsid w:val="00F73BA6"/>
    <w:rsid w:val="00F96606"/>
    <w:rsid w:val="00FA0322"/>
    <w:rsid w:val="00FA5E4C"/>
    <w:rsid w:val="00FC0F37"/>
    <w:rsid w:val="00FD31ED"/>
    <w:rsid w:val="00FD5F54"/>
    <w:rsid w:val="01840284"/>
    <w:rsid w:val="0EEE6E2D"/>
    <w:rsid w:val="173609B4"/>
    <w:rsid w:val="178FF28C"/>
    <w:rsid w:val="1A76A0A0"/>
    <w:rsid w:val="1CF6117C"/>
    <w:rsid w:val="1DFD32D0"/>
    <w:rsid w:val="2E7F7493"/>
    <w:rsid w:val="2FEF5FCA"/>
    <w:rsid w:val="33D31FE4"/>
    <w:rsid w:val="35BF8724"/>
    <w:rsid w:val="37BF83C7"/>
    <w:rsid w:val="37F7D416"/>
    <w:rsid w:val="38163320"/>
    <w:rsid w:val="3CFD949D"/>
    <w:rsid w:val="3DBEC5AD"/>
    <w:rsid w:val="3DCF3075"/>
    <w:rsid w:val="4F7FCDB1"/>
    <w:rsid w:val="4FB42F5D"/>
    <w:rsid w:val="55FF37AE"/>
    <w:rsid w:val="577BA3EF"/>
    <w:rsid w:val="57BFB431"/>
    <w:rsid w:val="57D78FE4"/>
    <w:rsid w:val="59EF76C8"/>
    <w:rsid w:val="5E3F35F1"/>
    <w:rsid w:val="5EFFF8E2"/>
    <w:rsid w:val="64E98E44"/>
    <w:rsid w:val="658F120F"/>
    <w:rsid w:val="65FF1916"/>
    <w:rsid w:val="676FFC0C"/>
    <w:rsid w:val="69FE1C3C"/>
    <w:rsid w:val="6DF1437D"/>
    <w:rsid w:val="6EAF148A"/>
    <w:rsid w:val="6EF7A421"/>
    <w:rsid w:val="6EFFFFA6"/>
    <w:rsid w:val="6FACF0D5"/>
    <w:rsid w:val="6FFD06FA"/>
    <w:rsid w:val="6FFEE06C"/>
    <w:rsid w:val="71BF7543"/>
    <w:rsid w:val="72E67E17"/>
    <w:rsid w:val="72FF464D"/>
    <w:rsid w:val="759514CC"/>
    <w:rsid w:val="76CD1ED6"/>
    <w:rsid w:val="76FB7B95"/>
    <w:rsid w:val="76FF2F57"/>
    <w:rsid w:val="79BF1912"/>
    <w:rsid w:val="79F748D7"/>
    <w:rsid w:val="79FFE638"/>
    <w:rsid w:val="7B7F8D4F"/>
    <w:rsid w:val="7BCDC8E1"/>
    <w:rsid w:val="7D0B6124"/>
    <w:rsid w:val="7D5FBD29"/>
    <w:rsid w:val="7DCC9414"/>
    <w:rsid w:val="7DF778A6"/>
    <w:rsid w:val="7E99A8B7"/>
    <w:rsid w:val="7E9EA6C8"/>
    <w:rsid w:val="7EDB957E"/>
    <w:rsid w:val="7EE779D2"/>
    <w:rsid w:val="7EFB048B"/>
    <w:rsid w:val="7F6D8C60"/>
    <w:rsid w:val="7F6FD647"/>
    <w:rsid w:val="7F7EDB9A"/>
    <w:rsid w:val="7FBF34F0"/>
    <w:rsid w:val="7FCCD5DD"/>
    <w:rsid w:val="7FE42AD3"/>
    <w:rsid w:val="7FEF5064"/>
    <w:rsid w:val="7FEF92F7"/>
    <w:rsid w:val="7FFE386C"/>
    <w:rsid w:val="7FFF582A"/>
    <w:rsid w:val="969F6393"/>
    <w:rsid w:val="97FB0810"/>
    <w:rsid w:val="AEFE80EF"/>
    <w:rsid w:val="AFF6A87F"/>
    <w:rsid w:val="B7BDCFA6"/>
    <w:rsid w:val="B7DDAB25"/>
    <w:rsid w:val="B8BD7E37"/>
    <w:rsid w:val="B9DFA050"/>
    <w:rsid w:val="BB6198B1"/>
    <w:rsid w:val="BEF398A6"/>
    <w:rsid w:val="BFA9D12D"/>
    <w:rsid w:val="BFEFBFBA"/>
    <w:rsid w:val="BFF74815"/>
    <w:rsid w:val="BFFE7D76"/>
    <w:rsid w:val="C565BD79"/>
    <w:rsid w:val="CC35906A"/>
    <w:rsid w:val="CFD904BC"/>
    <w:rsid w:val="CFED504C"/>
    <w:rsid w:val="D65DC7C3"/>
    <w:rsid w:val="D957D3B7"/>
    <w:rsid w:val="DBFD0395"/>
    <w:rsid w:val="DCF6BFC4"/>
    <w:rsid w:val="DDFBA0ED"/>
    <w:rsid w:val="DFFC4F6C"/>
    <w:rsid w:val="E6EFB004"/>
    <w:rsid w:val="E7CF5B51"/>
    <w:rsid w:val="E7FF38C2"/>
    <w:rsid w:val="EBC92812"/>
    <w:rsid w:val="EDDE7D33"/>
    <w:rsid w:val="EDFF92D2"/>
    <w:rsid w:val="EEB747BA"/>
    <w:rsid w:val="EFBFF54D"/>
    <w:rsid w:val="EFDE9AB2"/>
    <w:rsid w:val="EFF7F099"/>
    <w:rsid w:val="EFF9C0EA"/>
    <w:rsid w:val="EFFE3957"/>
    <w:rsid w:val="F3EBBD90"/>
    <w:rsid w:val="F4D76E14"/>
    <w:rsid w:val="F4F5E980"/>
    <w:rsid w:val="F6FA5C25"/>
    <w:rsid w:val="F9FB78AE"/>
    <w:rsid w:val="FB7CB523"/>
    <w:rsid w:val="FB8A8686"/>
    <w:rsid w:val="FBDFE781"/>
    <w:rsid w:val="FBFF639D"/>
    <w:rsid w:val="FD2F6F2D"/>
    <w:rsid w:val="FD4B5BEB"/>
    <w:rsid w:val="FDBF7972"/>
    <w:rsid w:val="FDED7DC5"/>
    <w:rsid w:val="FDEEB060"/>
    <w:rsid w:val="FECF318B"/>
    <w:rsid w:val="FEE9B7C6"/>
    <w:rsid w:val="FF5E1A9A"/>
    <w:rsid w:val="FF7F62D6"/>
    <w:rsid w:val="FFAF4A26"/>
    <w:rsid w:val="FFBBDBFD"/>
    <w:rsid w:val="FFBE0C1F"/>
    <w:rsid w:val="FFDE41B4"/>
    <w:rsid w:val="FFF57FDA"/>
    <w:rsid w:val="FFFB7B90"/>
    <w:rsid w:val="FFFC1E83"/>
    <w:rsid w:val="FFFFE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styleId="2">
    <w:name w:val="heading 1"/>
    <w:basedOn w:val="1"/>
    <w:next w:val="1"/>
    <w:link w:val="45"/>
    <w:qFormat/>
    <w:uiPriority w:val="0"/>
    <w:pPr>
      <w:keepNext/>
      <w:spacing w:before="340" w:after="330"/>
      <w:jc w:val="center"/>
      <w:outlineLvl w:val="0"/>
    </w:pPr>
    <w:rPr>
      <w:rFonts w:ascii="Times New Roman" w:hAnsi="Times New Roman"/>
      <w:b/>
      <w:sz w:val="32"/>
    </w:rPr>
  </w:style>
  <w:style w:type="paragraph" w:styleId="3">
    <w:name w:val="heading 2"/>
    <w:basedOn w:val="1"/>
    <w:next w:val="1"/>
    <w:link w:val="48"/>
    <w:qFormat/>
    <w:uiPriority w:val="0"/>
    <w:pPr>
      <w:keepNext/>
      <w:keepLines/>
      <w:spacing w:before="240" w:after="240"/>
      <w:jc w:val="center"/>
      <w:outlineLvl w:val="1"/>
    </w:pPr>
    <w:rPr>
      <w:rFonts w:ascii="Times New Roman" w:hAnsi="Times New Roman"/>
      <w:b/>
      <w:sz w:val="28"/>
    </w:rPr>
  </w:style>
  <w:style w:type="paragraph" w:styleId="4">
    <w:name w:val="heading 3"/>
    <w:basedOn w:val="1"/>
    <w:next w:val="1"/>
    <w:link w:val="46"/>
    <w:qFormat/>
    <w:uiPriority w:val="0"/>
    <w:pPr>
      <w:keepNext/>
      <w:keepLines/>
      <w:spacing w:before="260" w:after="260"/>
      <w:jc w:val="center"/>
      <w:outlineLvl w:val="2"/>
    </w:pPr>
    <w:rPr>
      <w:rFonts w:ascii="Times New Roman" w:hAnsi="Times New Roman"/>
      <w:b/>
      <w:sz w:val="28"/>
    </w:rPr>
  </w:style>
  <w:style w:type="paragraph" w:styleId="5">
    <w:name w:val="heading 4"/>
    <w:basedOn w:val="1"/>
    <w:next w:val="1"/>
    <w:link w:val="47"/>
    <w:qFormat/>
    <w:uiPriority w:val="0"/>
    <w:pPr>
      <w:keepNext/>
      <w:keepLines/>
      <w:spacing w:before="280" w:after="290"/>
      <w:jc w:val="center"/>
      <w:outlineLvl w:val="3"/>
    </w:pPr>
    <w:rPr>
      <w:rFonts w:ascii="Times New Roman" w:hAnsi="Times New Roman"/>
      <w:b/>
      <w:sz w:val="21"/>
    </w:rPr>
  </w:style>
  <w:style w:type="paragraph" w:styleId="6">
    <w:name w:val="heading 5"/>
    <w:basedOn w:val="1"/>
    <w:next w:val="1"/>
    <w:link w:val="38"/>
    <w:unhideWhenUsed/>
    <w:qFormat/>
    <w:uiPriority w:val="0"/>
    <w:pPr>
      <w:keepNext/>
      <w:keepLines/>
      <w:spacing w:before="280" w:line="375" w:lineRule="atLeast"/>
      <w:jc w:val="center"/>
      <w:outlineLvl w:val="4"/>
    </w:pPr>
    <w:rPr>
      <w:bCs/>
      <w:sz w:val="30"/>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autoRedefine/>
    <w:unhideWhenUsed/>
    <w:qFormat/>
    <w:uiPriority w:val="39"/>
    <w:pPr>
      <w:spacing w:line="240" w:lineRule="auto"/>
      <w:ind w:left="2520" w:leftChars="1200"/>
    </w:pPr>
    <w:rPr>
      <w:rFonts w:asciiTheme="minorHAnsi" w:hAnsiTheme="minorHAnsi" w:eastAsiaTheme="minorEastAsia" w:cstheme="minorBidi"/>
      <w:sz w:val="21"/>
      <w:szCs w:val="22"/>
    </w:rPr>
  </w:style>
  <w:style w:type="paragraph" w:styleId="8">
    <w:name w:val="caption"/>
    <w:basedOn w:val="1"/>
    <w:next w:val="1"/>
    <w:qFormat/>
    <w:uiPriority w:val="0"/>
    <w:rPr>
      <w:rFonts w:ascii="Calibri Light" w:hAnsi="Calibri Light" w:eastAsia="黑体"/>
      <w:sz w:val="20"/>
      <w:szCs w:val="20"/>
    </w:rPr>
  </w:style>
  <w:style w:type="paragraph" w:styleId="9">
    <w:name w:val="annotation text"/>
    <w:basedOn w:val="1"/>
    <w:link w:val="43"/>
    <w:qFormat/>
    <w:uiPriority w:val="0"/>
    <w:rPr>
      <w:sz w:val="20"/>
      <w:szCs w:val="20"/>
    </w:rPr>
  </w:style>
  <w:style w:type="paragraph" w:styleId="10">
    <w:name w:val="toc 5"/>
    <w:basedOn w:val="1"/>
    <w:next w:val="1"/>
    <w:autoRedefine/>
    <w:unhideWhenUsed/>
    <w:qFormat/>
    <w:uiPriority w:val="39"/>
    <w:pPr>
      <w:spacing w:line="240" w:lineRule="auto"/>
      <w:ind w:left="1680" w:leftChars="800"/>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spacing w:line="240" w:lineRule="auto"/>
      <w:ind w:left="840" w:leftChars="400"/>
    </w:pPr>
    <w:rPr>
      <w:rFonts w:asciiTheme="minorHAnsi" w:hAnsiTheme="minorHAnsi" w:eastAsiaTheme="minorEastAsia" w:cstheme="minorBidi"/>
      <w:sz w:val="21"/>
      <w:szCs w:val="22"/>
    </w:rPr>
  </w:style>
  <w:style w:type="paragraph" w:styleId="12">
    <w:name w:val="toc 8"/>
    <w:basedOn w:val="1"/>
    <w:next w:val="1"/>
    <w:autoRedefine/>
    <w:unhideWhenUsed/>
    <w:qFormat/>
    <w:uiPriority w:val="39"/>
    <w:pPr>
      <w:spacing w:line="240" w:lineRule="auto"/>
      <w:ind w:left="2940" w:leftChars="1400"/>
    </w:pPr>
    <w:rPr>
      <w:rFonts w:asciiTheme="minorHAnsi" w:hAnsiTheme="minorHAnsi" w:eastAsiaTheme="minorEastAsia" w:cstheme="minorBidi"/>
      <w:sz w:val="21"/>
      <w:szCs w:val="22"/>
    </w:rPr>
  </w:style>
  <w:style w:type="paragraph" w:styleId="13">
    <w:name w:val="Balloon Text"/>
    <w:basedOn w:val="1"/>
    <w:link w:val="41"/>
    <w:qFormat/>
    <w:uiPriority w:val="0"/>
    <w:pPr>
      <w:spacing w:line="240" w:lineRule="auto"/>
    </w:pPr>
    <w:rPr>
      <w:sz w:val="18"/>
      <w:szCs w:val="18"/>
    </w:rPr>
  </w:style>
  <w:style w:type="paragraph" w:styleId="14">
    <w:name w:val="footer"/>
    <w:basedOn w:val="1"/>
    <w:link w:val="37"/>
    <w:qFormat/>
    <w:uiPriority w:val="99"/>
    <w:pPr>
      <w:tabs>
        <w:tab w:val="center" w:pos="4153"/>
        <w:tab w:val="right" w:pos="8306"/>
      </w:tabs>
      <w:snapToGrid w:val="0"/>
    </w:pPr>
    <w:rPr>
      <w:sz w:val="18"/>
      <w:szCs w:val="18"/>
      <w:lang w:val="zh-CN"/>
    </w:rPr>
  </w:style>
  <w:style w:type="paragraph" w:styleId="15">
    <w:name w:val="header"/>
    <w:basedOn w:val="1"/>
    <w:link w:val="49"/>
    <w:qFormat/>
    <w:uiPriority w:val="99"/>
    <w:pPr>
      <w:pBdr>
        <w:bottom w:val="single" w:color="auto" w:sz="6" w:space="1"/>
      </w:pBdr>
      <w:tabs>
        <w:tab w:val="center" w:pos="4153"/>
        <w:tab w:val="right" w:pos="8306"/>
      </w:tabs>
      <w:snapToGrid w:val="0"/>
      <w:jc w:val="center"/>
    </w:pPr>
    <w:rPr>
      <w:sz w:val="18"/>
      <w:szCs w:val="18"/>
      <w:lang w:val="zh-CN"/>
    </w:rPr>
  </w:style>
  <w:style w:type="paragraph" w:styleId="16">
    <w:name w:val="toc 1"/>
    <w:basedOn w:val="1"/>
    <w:next w:val="1"/>
    <w:autoRedefine/>
    <w:qFormat/>
    <w:uiPriority w:val="39"/>
    <w:pPr>
      <w:tabs>
        <w:tab w:val="right" w:leader="dot" w:pos="8504"/>
      </w:tabs>
      <w:snapToGrid w:val="0"/>
      <w:spacing w:line="312" w:lineRule="auto"/>
      <w:jc w:val="center"/>
    </w:pPr>
    <w:rPr>
      <w:rFonts w:ascii="Times New Roman" w:hAnsi="Times New Roman"/>
    </w:rPr>
  </w:style>
  <w:style w:type="paragraph" w:styleId="17">
    <w:name w:val="toc 4"/>
    <w:basedOn w:val="1"/>
    <w:next w:val="1"/>
    <w:autoRedefine/>
    <w:unhideWhenUsed/>
    <w:qFormat/>
    <w:uiPriority w:val="39"/>
    <w:pPr>
      <w:spacing w:line="240" w:lineRule="auto"/>
      <w:ind w:left="1260" w:leftChars="600"/>
    </w:pPr>
    <w:rPr>
      <w:rFonts w:asciiTheme="minorHAnsi" w:hAnsiTheme="minorHAnsi" w:eastAsiaTheme="minorEastAsia" w:cstheme="minorBidi"/>
      <w:sz w:val="21"/>
      <w:szCs w:val="22"/>
    </w:rPr>
  </w:style>
  <w:style w:type="paragraph" w:styleId="18">
    <w:name w:val="toc 6"/>
    <w:basedOn w:val="1"/>
    <w:next w:val="1"/>
    <w:autoRedefine/>
    <w:unhideWhenUsed/>
    <w:qFormat/>
    <w:uiPriority w:val="39"/>
    <w:pPr>
      <w:spacing w:line="240" w:lineRule="auto"/>
      <w:ind w:left="2100" w:leftChars="1000"/>
    </w:pPr>
    <w:rPr>
      <w:rFonts w:asciiTheme="minorHAnsi" w:hAnsiTheme="minorHAnsi" w:eastAsiaTheme="minorEastAsia" w:cstheme="minorBidi"/>
      <w:sz w:val="21"/>
      <w:szCs w:val="22"/>
    </w:rPr>
  </w:style>
  <w:style w:type="paragraph" w:styleId="19">
    <w:name w:val="toc 2"/>
    <w:basedOn w:val="1"/>
    <w:next w:val="1"/>
    <w:autoRedefine/>
    <w:qFormat/>
    <w:uiPriority w:val="39"/>
    <w:pPr>
      <w:tabs>
        <w:tab w:val="right" w:leader="dot" w:pos="8504"/>
      </w:tabs>
      <w:snapToGrid w:val="0"/>
      <w:spacing w:line="312" w:lineRule="auto"/>
      <w:ind w:left="480" w:leftChars="200"/>
    </w:pPr>
  </w:style>
  <w:style w:type="paragraph" w:styleId="20">
    <w:name w:val="toc 9"/>
    <w:basedOn w:val="1"/>
    <w:next w:val="1"/>
    <w:autoRedefine/>
    <w:unhideWhenUsed/>
    <w:qFormat/>
    <w:uiPriority w:val="39"/>
    <w:pPr>
      <w:spacing w:line="240" w:lineRule="auto"/>
      <w:ind w:left="3360" w:leftChars="1600"/>
    </w:pPr>
    <w:rPr>
      <w:rFonts w:asciiTheme="minorHAnsi" w:hAnsiTheme="minorHAnsi" w:eastAsiaTheme="minorEastAsia" w:cstheme="minorBidi"/>
      <w:sz w:val="21"/>
      <w:szCs w:val="22"/>
    </w:rPr>
  </w:style>
  <w:style w:type="paragraph" w:styleId="21">
    <w:name w:val="Normal (Web)"/>
    <w:basedOn w:val="1"/>
    <w:qFormat/>
    <w:uiPriority w:val="0"/>
  </w:style>
  <w:style w:type="paragraph" w:styleId="22">
    <w:name w:val="annotation subject"/>
    <w:basedOn w:val="9"/>
    <w:next w:val="9"/>
    <w:link w:val="44"/>
    <w:qFormat/>
    <w:uiPriority w:val="0"/>
    <w:pPr>
      <w:jc w:val="left"/>
    </w:pPr>
    <w:rPr>
      <w:b/>
      <w:bCs/>
      <w:sz w:val="24"/>
      <w:szCs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basedOn w:val="25"/>
    <w:unhideWhenUsed/>
    <w:qFormat/>
    <w:uiPriority w:val="99"/>
    <w:rPr>
      <w:color w:val="0563C1" w:themeColor="hyperlink"/>
      <w:u w:val="single"/>
      <w14:textFill>
        <w14:solidFill>
          <w14:schemeClr w14:val="hlink"/>
        </w14:solidFill>
      </w14:textFill>
    </w:rPr>
  </w:style>
  <w:style w:type="character" w:styleId="28">
    <w:name w:val="annotation reference"/>
    <w:qFormat/>
    <w:uiPriority w:val="0"/>
    <w:rPr>
      <w:sz w:val="16"/>
      <w:szCs w:val="16"/>
    </w:rPr>
  </w:style>
  <w:style w:type="paragraph" w:customStyle="1" w:styleId="29">
    <w:name w:val="(附录)段落"/>
    <w:basedOn w:val="1"/>
    <w:qFormat/>
    <w:uiPriority w:val="0"/>
    <w:rPr>
      <w:rFonts w:cs="宋体"/>
      <w:szCs w:val="20"/>
    </w:rPr>
  </w:style>
  <w:style w:type="paragraph" w:customStyle="1" w:styleId="30">
    <w:name w:val="_Style 2"/>
    <w:basedOn w:val="2"/>
    <w:next w:val="1"/>
    <w:qFormat/>
    <w:uiPriority w:val="39"/>
    <w:pPr>
      <w:keepLines/>
      <w:spacing w:before="240" w:line="259" w:lineRule="auto"/>
      <w:jc w:val="left"/>
      <w:outlineLvl w:val="9"/>
    </w:pPr>
    <w:rPr>
      <w:rFonts w:ascii="Calibri Light" w:hAnsi="Calibri Light"/>
      <w:color w:val="2E74B5"/>
      <w:kern w:val="0"/>
      <w:szCs w:val="32"/>
    </w:rPr>
  </w:style>
  <w:style w:type="paragraph" w:customStyle="1" w:styleId="31">
    <w:name w:val="数字"/>
    <w:basedOn w:val="1"/>
    <w:qFormat/>
    <w:uiPriority w:val="0"/>
    <w:rPr>
      <w:rFonts w:ascii="Times New Roman" w:hAnsi="Times New Roman" w:eastAsia="Times New Roman"/>
      <w:b/>
    </w:rPr>
  </w:style>
  <w:style w:type="paragraph" w:customStyle="1" w:styleId="32">
    <w:name w:val="WPSOffice手动目录 1"/>
    <w:qFormat/>
    <w:uiPriority w:val="0"/>
    <w:rPr>
      <w:rFonts w:ascii="Calibri" w:hAnsi="Calibri" w:eastAsia="宋体" w:cs="Times New Roman"/>
      <w:lang w:val="en-US" w:eastAsia="zh-CN" w:bidi="ar-SA"/>
    </w:rPr>
  </w:style>
  <w:style w:type="paragraph" w:customStyle="1" w:styleId="33">
    <w:name w:val="WPSOffice手动目录 2"/>
    <w:qFormat/>
    <w:uiPriority w:val="0"/>
    <w:pPr>
      <w:ind w:left="200" w:leftChars="200"/>
    </w:pPr>
    <w:rPr>
      <w:rFonts w:ascii="Calibri" w:hAnsi="Calibri" w:eastAsia="宋体" w:cs="Times New Roman"/>
      <w:lang w:val="en-US" w:eastAsia="zh-CN" w:bidi="ar-SA"/>
    </w:rPr>
  </w:style>
  <w:style w:type="paragraph" w:customStyle="1" w:styleId="34">
    <w:name w:val="条文正文"/>
    <w:basedOn w:val="1"/>
    <w:qFormat/>
    <w:uiPriority w:val="0"/>
    <w:pPr>
      <w:ind w:firstLine="412"/>
    </w:pPr>
    <w:rPr>
      <w:rFonts w:ascii="Times New Roman" w:hAnsi="Times New Roman"/>
      <w:bCs/>
      <w:kern w:val="44"/>
      <w:sz w:val="21"/>
    </w:rPr>
  </w:style>
  <w:style w:type="paragraph" w:styleId="35">
    <w:name w:val="List Paragraph"/>
    <w:basedOn w:val="1"/>
    <w:qFormat/>
    <w:uiPriority w:val="99"/>
    <w:pPr>
      <w:ind w:firstLine="420" w:firstLineChars="200"/>
    </w:pPr>
  </w:style>
  <w:style w:type="character" w:customStyle="1" w:styleId="36">
    <w:name w:val="未处理的提及1"/>
    <w:basedOn w:val="25"/>
    <w:semiHidden/>
    <w:unhideWhenUsed/>
    <w:qFormat/>
    <w:uiPriority w:val="99"/>
    <w:rPr>
      <w:color w:val="605E5C"/>
      <w:shd w:val="clear" w:color="auto" w:fill="E1DFDD"/>
    </w:rPr>
  </w:style>
  <w:style w:type="character" w:customStyle="1" w:styleId="37">
    <w:name w:val="页脚 字符"/>
    <w:basedOn w:val="25"/>
    <w:link w:val="14"/>
    <w:qFormat/>
    <w:uiPriority w:val="99"/>
    <w:rPr>
      <w:kern w:val="2"/>
      <w:sz w:val="18"/>
      <w:szCs w:val="18"/>
      <w:lang w:val="zh-CN"/>
    </w:rPr>
  </w:style>
  <w:style w:type="character" w:customStyle="1" w:styleId="38">
    <w:name w:val="标题 5 字符"/>
    <w:basedOn w:val="25"/>
    <w:link w:val="6"/>
    <w:qFormat/>
    <w:uiPriority w:val="0"/>
    <w:rPr>
      <w:bCs/>
      <w:kern w:val="2"/>
      <w:sz w:val="30"/>
      <w:szCs w:val="28"/>
    </w:rPr>
  </w:style>
  <w:style w:type="paragraph" w:customStyle="1" w:styleId="39">
    <w:name w:val="条文正文2"/>
    <w:basedOn w:val="1"/>
    <w:link w:val="40"/>
    <w:qFormat/>
    <w:uiPriority w:val="0"/>
    <w:rPr>
      <w:rFonts w:ascii="Times New Roman" w:hAnsi="Times New Roman"/>
      <w:color w:val="000000"/>
      <w:sz w:val="21"/>
      <w:szCs w:val="21"/>
    </w:rPr>
  </w:style>
  <w:style w:type="character" w:customStyle="1" w:styleId="40">
    <w:name w:val="条文正文2 字符"/>
    <w:basedOn w:val="25"/>
    <w:link w:val="39"/>
    <w:qFormat/>
    <w:uiPriority w:val="0"/>
    <w:rPr>
      <w:rFonts w:ascii="Times New Roman" w:hAnsi="Times New Roman"/>
      <w:color w:val="000000"/>
      <w:kern w:val="2"/>
      <w:sz w:val="21"/>
      <w:szCs w:val="21"/>
    </w:rPr>
  </w:style>
  <w:style w:type="character" w:customStyle="1" w:styleId="41">
    <w:name w:val="批注框文本 字符"/>
    <w:basedOn w:val="25"/>
    <w:link w:val="13"/>
    <w:qFormat/>
    <w:uiPriority w:val="0"/>
    <w:rPr>
      <w:kern w:val="2"/>
      <w:sz w:val="18"/>
      <w:szCs w:val="18"/>
    </w:rPr>
  </w:style>
  <w:style w:type="paragraph" w:customStyle="1" w:styleId="42">
    <w:name w:val="修订1"/>
    <w:hidden/>
    <w:semiHidden/>
    <w:qFormat/>
    <w:uiPriority w:val="99"/>
    <w:rPr>
      <w:rFonts w:ascii="Calibri" w:hAnsi="Calibri" w:eastAsia="宋体" w:cs="Times New Roman"/>
      <w:kern w:val="2"/>
      <w:sz w:val="24"/>
      <w:szCs w:val="24"/>
      <w:lang w:val="en-US" w:eastAsia="zh-CN" w:bidi="ar-SA"/>
    </w:rPr>
  </w:style>
  <w:style w:type="character" w:customStyle="1" w:styleId="43">
    <w:name w:val="批注文字 字符"/>
    <w:basedOn w:val="25"/>
    <w:link w:val="9"/>
    <w:qFormat/>
    <w:uiPriority w:val="0"/>
    <w:rPr>
      <w:kern w:val="2"/>
    </w:rPr>
  </w:style>
  <w:style w:type="character" w:customStyle="1" w:styleId="44">
    <w:name w:val="批注主题 字符"/>
    <w:basedOn w:val="43"/>
    <w:link w:val="22"/>
    <w:qFormat/>
    <w:uiPriority w:val="0"/>
    <w:rPr>
      <w:b/>
      <w:bCs/>
      <w:kern w:val="2"/>
      <w:sz w:val="24"/>
      <w:szCs w:val="24"/>
    </w:rPr>
  </w:style>
  <w:style w:type="character" w:customStyle="1" w:styleId="45">
    <w:name w:val="标题 1 字符"/>
    <w:basedOn w:val="25"/>
    <w:link w:val="2"/>
    <w:qFormat/>
    <w:uiPriority w:val="0"/>
    <w:rPr>
      <w:rFonts w:ascii="Times New Roman" w:hAnsi="Times New Roman"/>
      <w:b/>
      <w:kern w:val="2"/>
      <w:sz w:val="32"/>
      <w:szCs w:val="24"/>
    </w:rPr>
  </w:style>
  <w:style w:type="character" w:customStyle="1" w:styleId="46">
    <w:name w:val="标题 3 字符"/>
    <w:basedOn w:val="25"/>
    <w:link w:val="4"/>
    <w:qFormat/>
    <w:uiPriority w:val="0"/>
    <w:rPr>
      <w:rFonts w:ascii="Times New Roman" w:hAnsi="Times New Roman"/>
      <w:b/>
      <w:kern w:val="2"/>
      <w:sz w:val="28"/>
      <w:szCs w:val="24"/>
    </w:rPr>
  </w:style>
  <w:style w:type="character" w:customStyle="1" w:styleId="47">
    <w:name w:val="标题 4 字符"/>
    <w:basedOn w:val="25"/>
    <w:link w:val="5"/>
    <w:qFormat/>
    <w:uiPriority w:val="0"/>
    <w:rPr>
      <w:rFonts w:ascii="Times New Roman" w:hAnsi="Times New Roman"/>
      <w:b/>
      <w:kern w:val="2"/>
      <w:sz w:val="21"/>
      <w:szCs w:val="24"/>
    </w:rPr>
  </w:style>
  <w:style w:type="character" w:customStyle="1" w:styleId="48">
    <w:name w:val="标题 2 字符"/>
    <w:basedOn w:val="25"/>
    <w:link w:val="3"/>
    <w:qFormat/>
    <w:uiPriority w:val="0"/>
    <w:rPr>
      <w:rFonts w:ascii="Times New Roman" w:hAnsi="Times New Roman"/>
      <w:b/>
      <w:kern w:val="2"/>
      <w:sz w:val="28"/>
      <w:szCs w:val="24"/>
    </w:rPr>
  </w:style>
  <w:style w:type="character" w:customStyle="1" w:styleId="49">
    <w:name w:val="页眉 字符"/>
    <w:basedOn w:val="25"/>
    <w:link w:val="15"/>
    <w:qFormat/>
    <w:uiPriority w:val="99"/>
    <w:rPr>
      <w:kern w:val="2"/>
      <w:sz w:val="18"/>
      <w:szCs w:val="18"/>
      <w:lang w:val="zh-CN"/>
    </w:rPr>
  </w:style>
  <w:style w:type="character" w:customStyle="1" w:styleId="50">
    <w:name w:val="未处理的提及2"/>
    <w:basedOn w:val="2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53068F-4F94-43F3-988A-E4041A47FAB0}">
  <ds:schemaRefs/>
</ds:datastoreItem>
</file>

<file path=docProps/app.xml><?xml version="1.0" encoding="utf-8"?>
<Properties xmlns="http://schemas.openxmlformats.org/officeDocument/2006/extended-properties" xmlns:vt="http://schemas.openxmlformats.org/officeDocument/2006/docPropsVTypes">
  <Template>Normal.dotm</Template>
  <Pages>87</Pages>
  <Words>1645</Words>
  <Characters>2186</Characters>
  <Lines>1919</Lines>
  <Paragraphs>2038</Paragraphs>
  <TotalTime>2</TotalTime>
  <ScaleCrop>false</ScaleCrop>
  <LinksUpToDate>false</LinksUpToDate>
  <CharactersWithSpaces>2592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2026-07-13T10:02:00Z</dcterms:created>
  <dc:creator>陈</dc:creator>
  <cp:lastModifiedBy>ZQ</cp:lastModifiedBy>
  <dcterms:modified xsi:type="dcterms:W3CDTF">2026-08-11T03:44:22Z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AF1EDEB46F084CB48222FA6B376CA1A3_13</vt:lpwstr>
  </property>
  <property fmtid="{D5CDD505-2E9C-101B-9397-08002B2CF9AE}" pid="4" name="KSOTemplateDocerSaveRecord">
    <vt:lpwstr>eyJoZGlkIjoiZDM0ZjNjMTdlZjk5Y2ZmMGQ1ZTI2MmVmMjQzM2Q3OGMiLCJ1c2VySWQiOiI2NTI1NTY2MzAifQ==</vt:lpwstr>
  </property>
</Properties>
</file>