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16312" w:rsidP="00016312">
      <w:pPr>
        <w:ind w:left="720"/>
        <w:jc w:val="center"/>
        <w:rPr>
          <w:rFonts w:ascii="楷体_GB2312" w:eastAsia="楷体_GB2312" w:hint="eastAsia"/>
          <w:b/>
          <w:sz w:val="24"/>
          <w:szCs w:val="24"/>
        </w:rPr>
      </w:pPr>
      <w:r w:rsidRPr="00016312">
        <w:rPr>
          <w:rFonts w:ascii="楷体_GB2312" w:eastAsia="楷体_GB2312" w:hint="eastAsia"/>
          <w:b/>
          <w:sz w:val="44"/>
          <w:szCs w:val="44"/>
        </w:rPr>
        <w:t>《</w:t>
      </w:r>
      <w:r w:rsidRPr="00016312">
        <w:rPr>
          <w:rFonts w:ascii="楷体_GB2312" w:eastAsia="楷体_GB2312" w:hint="eastAsia"/>
          <w:b/>
          <w:sz w:val="44"/>
          <w:szCs w:val="44"/>
        </w:rPr>
        <w:t>招标投标法实施条例</w:t>
      </w:r>
      <w:r w:rsidRPr="00016312">
        <w:rPr>
          <w:rFonts w:ascii="楷体_GB2312" w:eastAsia="楷体_GB2312" w:hint="eastAsia"/>
          <w:b/>
          <w:sz w:val="44"/>
          <w:szCs w:val="44"/>
        </w:rPr>
        <w:t>》</w:t>
      </w:r>
      <w:r w:rsidRPr="00016312">
        <w:rPr>
          <w:rFonts w:ascii="楷体_GB2312" w:eastAsia="楷体_GB2312" w:hint="eastAsia"/>
          <w:b/>
          <w:sz w:val="44"/>
          <w:szCs w:val="44"/>
        </w:rPr>
        <w:t>立法分析</w:t>
      </w:r>
    </w:p>
    <w:p w:rsidR="00016312" w:rsidRPr="00016312" w:rsidRDefault="00016312" w:rsidP="00016312">
      <w:pPr>
        <w:ind w:left="720"/>
        <w:jc w:val="center"/>
        <w:rPr>
          <w:rFonts w:ascii="楷体_GB2312" w:eastAsia="楷体_GB2312" w:hint="eastAsia"/>
          <w:b/>
          <w:sz w:val="24"/>
          <w:szCs w:val="24"/>
        </w:rPr>
      </w:pPr>
    </w:p>
    <w:p w:rsidR="00000000" w:rsidRDefault="00016312" w:rsidP="00016312">
      <w:pPr>
        <w:ind w:left="720"/>
        <w:jc w:val="center"/>
        <w:rPr>
          <w:rFonts w:ascii="楷体_GB2312" w:eastAsia="楷体_GB2312" w:hint="eastAsia"/>
          <w:sz w:val="18"/>
          <w:szCs w:val="18"/>
        </w:rPr>
      </w:pPr>
      <w:r w:rsidRPr="00016312">
        <w:rPr>
          <w:rFonts w:ascii="楷体_GB2312" w:eastAsia="楷体_GB2312" w:hint="eastAsia"/>
          <w:sz w:val="30"/>
          <w:szCs w:val="30"/>
        </w:rPr>
        <w:t>南开大学</w:t>
      </w:r>
      <w:r w:rsidRPr="00016312">
        <w:rPr>
          <w:rFonts w:ascii="楷体_GB2312" w:eastAsia="楷体_GB2312" w:hint="eastAsia"/>
          <w:sz w:val="30"/>
          <w:szCs w:val="30"/>
        </w:rPr>
        <w:t xml:space="preserve">    </w:t>
      </w:r>
      <w:r w:rsidRPr="00016312">
        <w:rPr>
          <w:rFonts w:ascii="楷体_GB2312" w:eastAsia="楷体_GB2312" w:hint="eastAsia"/>
          <w:sz w:val="30"/>
          <w:szCs w:val="30"/>
        </w:rPr>
        <w:t>何红锋</w:t>
      </w:r>
    </w:p>
    <w:p w:rsidR="00016312" w:rsidRPr="00016312" w:rsidRDefault="00016312" w:rsidP="00016312">
      <w:pPr>
        <w:ind w:left="720"/>
        <w:jc w:val="center"/>
        <w:rPr>
          <w:rFonts w:ascii="楷体_GB2312" w:eastAsia="楷体_GB2312" w:hint="eastAsia"/>
          <w:sz w:val="18"/>
          <w:szCs w:val="18"/>
        </w:rPr>
      </w:pP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一、</w:t>
      </w:r>
      <w:r w:rsidRPr="00016312">
        <w:rPr>
          <w:rFonts w:ascii="楷体_GB2312" w:eastAsia="楷体_GB2312" w:hint="eastAsia"/>
          <w:sz w:val="30"/>
          <w:szCs w:val="30"/>
        </w:rPr>
        <w:t>《</w:t>
      </w:r>
      <w:r w:rsidRPr="00016312">
        <w:rPr>
          <w:rFonts w:ascii="楷体_GB2312" w:eastAsia="楷体_GB2312" w:hint="eastAsia"/>
          <w:sz w:val="30"/>
          <w:szCs w:val="30"/>
        </w:rPr>
        <w:t>招标投标法实施条例</w:t>
      </w:r>
      <w:r w:rsidRPr="00016312">
        <w:rPr>
          <w:rFonts w:ascii="楷体_GB2312" w:eastAsia="楷体_GB2312" w:hint="eastAsia"/>
          <w:sz w:val="30"/>
          <w:szCs w:val="30"/>
        </w:rPr>
        <w:t>》</w:t>
      </w:r>
      <w:r w:rsidRPr="00016312">
        <w:rPr>
          <w:rFonts w:ascii="楷体_GB2312" w:eastAsia="楷体_GB2312" w:hint="eastAsia"/>
          <w:sz w:val="30"/>
          <w:szCs w:val="30"/>
        </w:rPr>
        <w:t>制定背景、特点、目的和意义</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（一）背景</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1.</w:t>
      </w:r>
      <w:r w:rsidRPr="00016312">
        <w:rPr>
          <w:rFonts w:ascii="楷体_GB2312" w:eastAsia="楷体_GB2312" w:hint="eastAsia"/>
          <w:sz w:val="30"/>
          <w:szCs w:val="30"/>
        </w:rPr>
        <w:t>《</w:t>
      </w:r>
      <w:r w:rsidRPr="00016312">
        <w:rPr>
          <w:rFonts w:ascii="楷体_GB2312" w:eastAsia="楷体_GB2312" w:hint="eastAsia"/>
          <w:sz w:val="30"/>
          <w:szCs w:val="30"/>
        </w:rPr>
        <w:t>招标投标法</w:t>
      </w:r>
      <w:r w:rsidRPr="00016312">
        <w:rPr>
          <w:rFonts w:ascii="楷体_GB2312" w:eastAsia="楷体_GB2312" w:hint="eastAsia"/>
          <w:sz w:val="30"/>
          <w:szCs w:val="30"/>
        </w:rPr>
        <w:t>》</w:t>
      </w:r>
      <w:r w:rsidRPr="00016312">
        <w:rPr>
          <w:rFonts w:ascii="楷体_GB2312" w:eastAsia="楷体_GB2312" w:hint="eastAsia"/>
          <w:sz w:val="30"/>
          <w:szCs w:val="30"/>
        </w:rPr>
        <w:t>颁布实施遇到问题。</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2.</w:t>
      </w:r>
      <w:r w:rsidRPr="00016312">
        <w:rPr>
          <w:rFonts w:ascii="楷体_GB2312" w:eastAsia="楷体_GB2312" w:hint="eastAsia"/>
          <w:b/>
          <w:bCs/>
          <w:sz w:val="30"/>
          <w:szCs w:val="30"/>
        </w:rPr>
        <w:t>预防和惩治腐败。</w:t>
      </w:r>
      <w:r w:rsidRPr="00016312">
        <w:rPr>
          <w:rFonts w:ascii="楷体_GB2312" w:eastAsia="楷体_GB2312" w:hint="eastAsia"/>
          <w:sz w:val="30"/>
          <w:szCs w:val="30"/>
        </w:rPr>
        <w:t>工程建设领域突出问题专项治理。</w:t>
      </w:r>
      <w:r w:rsidRPr="00016312">
        <w:rPr>
          <w:rFonts w:ascii="楷体_GB2312" w:eastAsia="楷体_GB2312" w:hint="eastAsia"/>
          <w:sz w:val="30"/>
          <w:szCs w:val="30"/>
        </w:rPr>
        <w:t>2009</w:t>
      </w:r>
      <w:r w:rsidRPr="00016312">
        <w:rPr>
          <w:rFonts w:ascii="楷体_GB2312" w:eastAsia="楷体_GB2312" w:hint="eastAsia"/>
          <w:sz w:val="30"/>
          <w:szCs w:val="30"/>
        </w:rPr>
        <w:t>年</w:t>
      </w:r>
      <w:r w:rsidRPr="00016312">
        <w:rPr>
          <w:rFonts w:ascii="楷体_GB2312" w:eastAsia="楷体_GB2312" w:hint="eastAsia"/>
          <w:sz w:val="30"/>
          <w:szCs w:val="30"/>
        </w:rPr>
        <w:t>8</w:t>
      </w:r>
      <w:r w:rsidRPr="00016312">
        <w:rPr>
          <w:rFonts w:ascii="楷体_GB2312" w:eastAsia="楷体_GB2312" w:hint="eastAsia"/>
          <w:sz w:val="30"/>
          <w:szCs w:val="30"/>
        </w:rPr>
        <w:t>月，中共中央办公厅、国务院办公厅印发了</w:t>
      </w:r>
      <w:r w:rsidRPr="00016312">
        <w:rPr>
          <w:rFonts w:ascii="楷体_GB2312" w:eastAsia="楷体_GB2312" w:hint="eastAsia"/>
          <w:sz w:val="30"/>
          <w:szCs w:val="30"/>
        </w:rPr>
        <w:t>《</w:t>
      </w:r>
      <w:r w:rsidRPr="00016312">
        <w:rPr>
          <w:rFonts w:ascii="楷体_GB2312" w:eastAsia="楷体_GB2312" w:hint="eastAsia"/>
          <w:sz w:val="30"/>
          <w:szCs w:val="30"/>
        </w:rPr>
        <w:t>关于开展工程建设领域突出问题专项治理工作的意见</w:t>
      </w:r>
      <w:r w:rsidRPr="00016312">
        <w:rPr>
          <w:rFonts w:ascii="楷体_GB2312" w:eastAsia="楷体_GB2312" w:hint="eastAsia"/>
          <w:sz w:val="30"/>
          <w:szCs w:val="30"/>
        </w:rPr>
        <w:t>》</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（二）特点</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第一，</w:t>
      </w:r>
      <w:r w:rsidRPr="00016312">
        <w:rPr>
          <w:rFonts w:ascii="楷体_GB2312" w:eastAsia="楷体_GB2312" w:hint="eastAsia"/>
          <w:sz w:val="30"/>
          <w:szCs w:val="30"/>
        </w:rPr>
        <w:t>《</w:t>
      </w:r>
      <w:r w:rsidRPr="00016312">
        <w:rPr>
          <w:rFonts w:ascii="楷体_GB2312" w:eastAsia="楷体_GB2312" w:hint="eastAsia"/>
          <w:sz w:val="30"/>
          <w:szCs w:val="30"/>
        </w:rPr>
        <w:t>实施条例</w:t>
      </w:r>
      <w:r w:rsidRPr="00016312">
        <w:rPr>
          <w:rFonts w:ascii="楷体_GB2312" w:eastAsia="楷体_GB2312" w:hint="eastAsia"/>
          <w:sz w:val="30"/>
          <w:szCs w:val="30"/>
        </w:rPr>
        <w:t>》</w:t>
      </w:r>
      <w:r w:rsidRPr="00016312">
        <w:rPr>
          <w:rFonts w:ascii="楷体_GB2312" w:eastAsia="楷体_GB2312" w:hint="eastAsia"/>
          <w:sz w:val="30"/>
          <w:szCs w:val="30"/>
        </w:rPr>
        <w:t>总结吸收招投标实践中的成熟做法，增强了可操作性。</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w:t>
      </w:r>
      <w:r w:rsidRPr="00016312">
        <w:rPr>
          <w:rFonts w:ascii="楷体_GB2312" w:eastAsia="楷体_GB2312" w:hint="eastAsia"/>
          <w:sz w:val="30"/>
          <w:szCs w:val="30"/>
        </w:rPr>
        <w:t>实施条例</w:t>
      </w:r>
      <w:r w:rsidRPr="00016312">
        <w:rPr>
          <w:rFonts w:ascii="楷体_GB2312" w:eastAsia="楷体_GB2312" w:hint="eastAsia"/>
          <w:sz w:val="30"/>
          <w:szCs w:val="30"/>
        </w:rPr>
        <w:t>》</w:t>
      </w:r>
      <w:r w:rsidRPr="00016312">
        <w:rPr>
          <w:rFonts w:ascii="楷体_GB2312" w:eastAsia="楷体_GB2312" w:hint="eastAsia"/>
          <w:sz w:val="30"/>
          <w:szCs w:val="30"/>
        </w:rPr>
        <w:t>不仅对</w:t>
      </w:r>
      <w:r w:rsidRPr="00016312">
        <w:rPr>
          <w:rFonts w:ascii="楷体_GB2312" w:eastAsia="楷体_GB2312" w:hint="eastAsia"/>
          <w:sz w:val="30"/>
          <w:szCs w:val="30"/>
        </w:rPr>
        <w:t>《</w:t>
      </w:r>
      <w:r w:rsidRPr="00016312">
        <w:rPr>
          <w:rFonts w:ascii="楷体_GB2312" w:eastAsia="楷体_GB2312" w:hint="eastAsia"/>
          <w:sz w:val="30"/>
          <w:szCs w:val="30"/>
        </w:rPr>
        <w:t>招标投标法</w:t>
      </w:r>
      <w:r w:rsidRPr="00016312">
        <w:rPr>
          <w:rFonts w:ascii="楷体_GB2312" w:eastAsia="楷体_GB2312" w:hint="eastAsia"/>
          <w:sz w:val="30"/>
          <w:szCs w:val="30"/>
        </w:rPr>
        <w:t>》</w:t>
      </w:r>
      <w:r w:rsidRPr="00016312">
        <w:rPr>
          <w:rFonts w:ascii="楷体_GB2312" w:eastAsia="楷体_GB2312" w:hint="eastAsia"/>
          <w:sz w:val="30"/>
          <w:szCs w:val="30"/>
        </w:rPr>
        <w:t>中一些重要概念和原则性规定进行了明确和细化，如明确了建设工程的定义和范围界定、细化了招投标工作的监督主体和职责分工、补充规定了可以不进行招标的</w:t>
      </w:r>
      <w:r w:rsidRPr="00016312">
        <w:rPr>
          <w:rFonts w:ascii="楷体_GB2312" w:eastAsia="楷体_GB2312" w:hint="eastAsia"/>
          <w:sz w:val="30"/>
          <w:szCs w:val="30"/>
        </w:rPr>
        <w:t>5</w:t>
      </w:r>
      <w:r w:rsidRPr="00016312">
        <w:rPr>
          <w:rFonts w:ascii="楷体_GB2312" w:eastAsia="楷体_GB2312" w:hint="eastAsia"/>
          <w:sz w:val="30"/>
          <w:szCs w:val="30"/>
        </w:rPr>
        <w:t>种法定情形、建立招标职业资格制度等，而且对招标投标的具体程序和环节进行了明确和细化，使招投标过程中各环节的时间节点更加清晰，条件和要求更加严格和具体，缩小了招标人、招标代理机构、评标</w:t>
      </w:r>
      <w:r w:rsidRPr="00016312">
        <w:rPr>
          <w:rFonts w:ascii="楷体_GB2312" w:eastAsia="楷体_GB2312" w:hint="eastAsia"/>
          <w:sz w:val="30"/>
          <w:szCs w:val="30"/>
        </w:rPr>
        <w:t>家等不同主体在操作过程中的自由裁量空间。</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第二，</w:t>
      </w:r>
      <w:r w:rsidRPr="00016312">
        <w:rPr>
          <w:rFonts w:ascii="楷体_GB2312" w:eastAsia="楷体_GB2312" w:hint="eastAsia"/>
          <w:sz w:val="30"/>
          <w:szCs w:val="30"/>
        </w:rPr>
        <w:t>《</w:t>
      </w:r>
      <w:r w:rsidRPr="00016312">
        <w:rPr>
          <w:rFonts w:ascii="楷体_GB2312" w:eastAsia="楷体_GB2312" w:hint="eastAsia"/>
          <w:sz w:val="30"/>
          <w:szCs w:val="30"/>
        </w:rPr>
        <w:t>实施条例</w:t>
      </w:r>
      <w:r w:rsidRPr="00016312">
        <w:rPr>
          <w:rFonts w:ascii="楷体_GB2312" w:eastAsia="楷体_GB2312" w:hint="eastAsia"/>
          <w:sz w:val="30"/>
          <w:szCs w:val="30"/>
        </w:rPr>
        <w:t>》</w:t>
      </w:r>
      <w:r w:rsidRPr="00016312">
        <w:rPr>
          <w:rFonts w:ascii="楷体_GB2312" w:eastAsia="楷体_GB2312" w:hint="eastAsia"/>
          <w:sz w:val="30"/>
          <w:szCs w:val="30"/>
        </w:rPr>
        <w:t>突显了直面招投标违法行为的针对性</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针对当前建设工程招投标领域招标人规避招标、限制和排斥投标人、搞“明招暗定”的虚假招标、少数领导干部利用权力干预招投标、当</w:t>
      </w:r>
      <w:r w:rsidRPr="00016312">
        <w:rPr>
          <w:rFonts w:ascii="楷体_GB2312" w:eastAsia="楷体_GB2312" w:hint="eastAsia"/>
          <w:sz w:val="30"/>
          <w:szCs w:val="30"/>
        </w:rPr>
        <w:lastRenderedPageBreak/>
        <w:t>事人相互串通</w:t>
      </w:r>
      <w:proofErr w:type="gramStart"/>
      <w:r w:rsidRPr="00016312">
        <w:rPr>
          <w:rFonts w:ascii="楷体_GB2312" w:eastAsia="楷体_GB2312" w:hint="eastAsia"/>
          <w:sz w:val="30"/>
          <w:szCs w:val="30"/>
        </w:rPr>
        <w:t>围标串标</w:t>
      </w:r>
      <w:proofErr w:type="gramEnd"/>
      <w:r w:rsidRPr="00016312">
        <w:rPr>
          <w:rFonts w:ascii="楷体_GB2312" w:eastAsia="楷体_GB2312" w:hint="eastAsia"/>
          <w:sz w:val="30"/>
          <w:szCs w:val="30"/>
        </w:rPr>
        <w:t>等突出问题，</w:t>
      </w:r>
      <w:r w:rsidRPr="00016312">
        <w:rPr>
          <w:rFonts w:ascii="楷体_GB2312" w:eastAsia="楷体_GB2312" w:hint="eastAsia"/>
          <w:sz w:val="30"/>
          <w:szCs w:val="30"/>
        </w:rPr>
        <w:t>《</w:t>
      </w:r>
      <w:r w:rsidRPr="00016312">
        <w:rPr>
          <w:rFonts w:ascii="楷体_GB2312" w:eastAsia="楷体_GB2312" w:hint="eastAsia"/>
          <w:sz w:val="30"/>
          <w:szCs w:val="30"/>
        </w:rPr>
        <w:t>实施条例</w:t>
      </w:r>
      <w:r w:rsidRPr="00016312">
        <w:rPr>
          <w:rFonts w:ascii="楷体_GB2312" w:eastAsia="楷体_GB2312" w:hint="eastAsia"/>
          <w:sz w:val="30"/>
          <w:szCs w:val="30"/>
        </w:rPr>
        <w:t>》</w:t>
      </w:r>
      <w:r w:rsidRPr="00016312">
        <w:rPr>
          <w:rFonts w:ascii="楷体_GB2312" w:eastAsia="楷体_GB2312" w:hint="eastAsia"/>
          <w:sz w:val="30"/>
          <w:szCs w:val="30"/>
        </w:rPr>
        <w:t>细化并补充完善了许多了关于预防和惩治腐败、维护招投标公开、公平、公正性的规定。</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第三，</w:t>
      </w:r>
      <w:r w:rsidRPr="00016312">
        <w:rPr>
          <w:rFonts w:ascii="楷体_GB2312" w:eastAsia="楷体_GB2312" w:hint="eastAsia"/>
          <w:sz w:val="30"/>
          <w:szCs w:val="30"/>
        </w:rPr>
        <w:t>《</w:t>
      </w:r>
      <w:r w:rsidRPr="00016312">
        <w:rPr>
          <w:rFonts w:ascii="楷体_GB2312" w:eastAsia="楷体_GB2312" w:hint="eastAsia"/>
          <w:sz w:val="30"/>
          <w:szCs w:val="30"/>
        </w:rPr>
        <w:t>实施条例</w:t>
      </w:r>
      <w:r w:rsidRPr="00016312">
        <w:rPr>
          <w:rFonts w:ascii="楷体_GB2312" w:eastAsia="楷体_GB2312" w:hint="eastAsia"/>
          <w:sz w:val="30"/>
          <w:szCs w:val="30"/>
        </w:rPr>
        <w:t>》</w:t>
      </w:r>
      <w:r w:rsidRPr="00016312">
        <w:rPr>
          <w:rFonts w:ascii="楷体_GB2312" w:eastAsia="楷体_GB2312" w:hint="eastAsia"/>
          <w:sz w:val="30"/>
          <w:szCs w:val="30"/>
        </w:rPr>
        <w:t>在制度设计上进一步显现了科学性</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w:t>
      </w:r>
      <w:r w:rsidRPr="00016312">
        <w:rPr>
          <w:rFonts w:ascii="楷体_GB2312" w:eastAsia="楷体_GB2312" w:hint="eastAsia"/>
          <w:sz w:val="30"/>
          <w:szCs w:val="30"/>
        </w:rPr>
        <w:t>《</w:t>
      </w:r>
      <w:r w:rsidRPr="00016312">
        <w:rPr>
          <w:rFonts w:ascii="楷体_GB2312" w:eastAsia="楷体_GB2312" w:hint="eastAsia"/>
          <w:sz w:val="30"/>
          <w:szCs w:val="30"/>
        </w:rPr>
        <w:t>实施条例</w:t>
      </w:r>
      <w:r w:rsidRPr="00016312">
        <w:rPr>
          <w:rFonts w:ascii="楷体_GB2312" w:eastAsia="楷体_GB2312" w:hint="eastAsia"/>
          <w:sz w:val="30"/>
          <w:szCs w:val="30"/>
        </w:rPr>
        <w:t>》</w:t>
      </w:r>
      <w:r w:rsidRPr="00016312">
        <w:rPr>
          <w:rFonts w:ascii="楷体_GB2312" w:eastAsia="楷体_GB2312" w:hint="eastAsia"/>
          <w:sz w:val="30"/>
          <w:szCs w:val="30"/>
        </w:rPr>
        <w:t>展现了开放的心态，在制度设计上做到了兼收并蓄。</w:t>
      </w:r>
      <w:r w:rsidRPr="00016312">
        <w:rPr>
          <w:rFonts w:ascii="楷体_GB2312" w:eastAsia="楷体_GB2312" w:hint="eastAsia"/>
          <w:sz w:val="30"/>
          <w:szCs w:val="30"/>
        </w:rPr>
        <w:t>《</w:t>
      </w:r>
      <w:r w:rsidRPr="00016312">
        <w:rPr>
          <w:rFonts w:ascii="楷体_GB2312" w:eastAsia="楷体_GB2312" w:hint="eastAsia"/>
          <w:sz w:val="30"/>
          <w:szCs w:val="30"/>
        </w:rPr>
        <w:t>实施条例</w:t>
      </w:r>
      <w:r w:rsidRPr="00016312">
        <w:rPr>
          <w:rFonts w:ascii="楷体_GB2312" w:eastAsia="楷体_GB2312" w:hint="eastAsia"/>
          <w:sz w:val="30"/>
          <w:szCs w:val="30"/>
        </w:rPr>
        <w:t>》</w:t>
      </w:r>
      <w:r w:rsidRPr="00016312">
        <w:rPr>
          <w:rFonts w:ascii="楷体_GB2312" w:eastAsia="楷体_GB2312" w:hint="eastAsia"/>
          <w:sz w:val="30"/>
          <w:szCs w:val="30"/>
        </w:rPr>
        <w:t>多处借鉴了政府采购的一些先进制度，借鉴</w:t>
      </w:r>
      <w:r w:rsidRPr="00016312">
        <w:rPr>
          <w:rFonts w:ascii="楷体_GB2312" w:eastAsia="楷体_GB2312" w:hint="eastAsia"/>
          <w:sz w:val="30"/>
          <w:szCs w:val="30"/>
        </w:rPr>
        <w:t>《</w:t>
      </w:r>
      <w:r w:rsidRPr="00016312">
        <w:rPr>
          <w:rFonts w:ascii="楷体_GB2312" w:eastAsia="楷体_GB2312" w:hint="eastAsia"/>
          <w:sz w:val="30"/>
          <w:szCs w:val="30"/>
        </w:rPr>
        <w:t>政府采购法</w:t>
      </w:r>
      <w:r w:rsidRPr="00016312">
        <w:rPr>
          <w:rFonts w:ascii="楷体_GB2312" w:eastAsia="楷体_GB2312" w:hint="eastAsia"/>
          <w:sz w:val="30"/>
          <w:szCs w:val="30"/>
        </w:rPr>
        <w:t>》</w:t>
      </w:r>
      <w:r w:rsidRPr="00016312">
        <w:rPr>
          <w:rFonts w:ascii="楷体_GB2312" w:eastAsia="楷体_GB2312" w:hint="eastAsia"/>
          <w:sz w:val="30"/>
          <w:szCs w:val="30"/>
        </w:rPr>
        <w:t>建立了中标结果公示制度；在邀请招标和不招标的适用情形上借鉴了</w:t>
      </w:r>
      <w:r w:rsidRPr="00016312">
        <w:rPr>
          <w:rFonts w:ascii="楷体_GB2312" w:eastAsia="楷体_GB2312" w:hint="eastAsia"/>
          <w:sz w:val="30"/>
          <w:szCs w:val="30"/>
        </w:rPr>
        <w:t>《</w:t>
      </w:r>
      <w:r w:rsidRPr="00016312">
        <w:rPr>
          <w:rFonts w:ascii="楷体_GB2312" w:eastAsia="楷体_GB2312" w:hint="eastAsia"/>
          <w:sz w:val="30"/>
          <w:szCs w:val="30"/>
        </w:rPr>
        <w:t>政府采购法</w:t>
      </w:r>
      <w:r w:rsidRPr="00016312">
        <w:rPr>
          <w:rFonts w:ascii="楷体_GB2312" w:eastAsia="楷体_GB2312" w:hint="eastAsia"/>
          <w:sz w:val="30"/>
          <w:szCs w:val="30"/>
        </w:rPr>
        <w:t>》</w:t>
      </w:r>
      <w:r w:rsidRPr="00016312">
        <w:rPr>
          <w:rFonts w:ascii="楷体_GB2312" w:eastAsia="楷体_GB2312" w:hint="eastAsia"/>
          <w:sz w:val="30"/>
          <w:szCs w:val="30"/>
        </w:rPr>
        <w:t>关于邀请招标和单一来源采购的相关规定。</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（三）目的和意义</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一些依法必须招标的项目规避招标或者搞“明招暗定”的虚假招标，有的领导干部利用权力插手干预招标投标活动，搞权钱交易，使工程建设和其他公共采购领域成为腐败现象易发、多发的重灾区；一些招标投标活动当事人相互串通，</w:t>
      </w:r>
      <w:proofErr w:type="gramStart"/>
      <w:r w:rsidRPr="00016312">
        <w:rPr>
          <w:rFonts w:ascii="楷体_GB2312" w:eastAsia="楷体_GB2312" w:hint="eastAsia"/>
          <w:sz w:val="30"/>
          <w:szCs w:val="30"/>
        </w:rPr>
        <w:t>围标串标</w:t>
      </w:r>
      <w:proofErr w:type="gramEnd"/>
      <w:r w:rsidRPr="00016312">
        <w:rPr>
          <w:rFonts w:ascii="楷体_GB2312" w:eastAsia="楷体_GB2312" w:hint="eastAsia"/>
          <w:sz w:val="30"/>
          <w:szCs w:val="30"/>
        </w:rPr>
        <w:t>，严重扰乱招标投标活动正常秩序，破坏公平竞争。招标投标活动中存在的突出问题，明显违反法律、法规已有的规定，同时也有相关制度需进一步完善的问题。</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认真总结招标投标法实施以来的实践经验，制定出台配套行政法规，将法律规定进一步具体化，增强可操作性，并针对新情况、新问题充实完善有关规定，进一步筑牢工程建设和其他公共采购领域预防和惩治腐败的制度屏障，维护招标投标活动的正常秩序，是必要的。制定出台</w:t>
      </w:r>
      <w:r w:rsidRPr="00016312">
        <w:rPr>
          <w:rFonts w:ascii="楷体_GB2312" w:eastAsia="楷体_GB2312" w:hint="eastAsia"/>
          <w:sz w:val="30"/>
          <w:szCs w:val="30"/>
        </w:rPr>
        <w:t>《</w:t>
      </w:r>
      <w:r w:rsidRPr="00016312">
        <w:rPr>
          <w:rFonts w:ascii="楷体_GB2312" w:eastAsia="楷体_GB2312" w:hint="eastAsia"/>
          <w:sz w:val="30"/>
          <w:szCs w:val="30"/>
        </w:rPr>
        <w:t>条例</w:t>
      </w:r>
      <w:r w:rsidRPr="00016312">
        <w:rPr>
          <w:rFonts w:ascii="楷体_GB2312" w:eastAsia="楷体_GB2312" w:hint="eastAsia"/>
          <w:sz w:val="30"/>
          <w:szCs w:val="30"/>
        </w:rPr>
        <w:t>》</w:t>
      </w:r>
      <w:r w:rsidRPr="00016312">
        <w:rPr>
          <w:rFonts w:ascii="楷体_GB2312" w:eastAsia="楷体_GB2312" w:hint="eastAsia"/>
          <w:sz w:val="30"/>
          <w:szCs w:val="30"/>
        </w:rPr>
        <w:t>，是落实中央部署、推动工程建设领域反腐败长效机制建设的一项重要任务，是解决招标投标领域突出问题、促进公平竞争、预防和惩治腐败的一项重要举措。</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二、</w:t>
      </w:r>
      <w:r w:rsidRPr="00016312">
        <w:rPr>
          <w:rFonts w:ascii="楷体_GB2312" w:eastAsia="楷体_GB2312" w:hint="eastAsia"/>
          <w:sz w:val="30"/>
          <w:szCs w:val="30"/>
        </w:rPr>
        <w:t xml:space="preserve"> </w:t>
      </w:r>
      <w:r w:rsidRPr="00016312">
        <w:rPr>
          <w:rFonts w:ascii="楷体_GB2312" w:eastAsia="楷体_GB2312" w:hint="eastAsia"/>
          <w:sz w:val="30"/>
          <w:szCs w:val="30"/>
        </w:rPr>
        <w:t>《</w:t>
      </w:r>
      <w:r w:rsidRPr="00016312">
        <w:rPr>
          <w:rFonts w:ascii="楷体_GB2312" w:eastAsia="楷体_GB2312" w:hint="eastAsia"/>
          <w:sz w:val="30"/>
          <w:szCs w:val="30"/>
        </w:rPr>
        <w:t>招标投标法实施条例</w:t>
      </w:r>
      <w:r w:rsidRPr="00016312">
        <w:rPr>
          <w:rFonts w:ascii="楷体_GB2312" w:eastAsia="楷体_GB2312" w:hint="eastAsia"/>
          <w:sz w:val="30"/>
          <w:szCs w:val="30"/>
        </w:rPr>
        <w:t>》</w:t>
      </w:r>
      <w:r w:rsidRPr="00016312">
        <w:rPr>
          <w:rFonts w:ascii="楷体_GB2312" w:eastAsia="楷体_GB2312" w:hint="eastAsia"/>
          <w:sz w:val="30"/>
          <w:szCs w:val="30"/>
        </w:rPr>
        <w:t>的适用范围</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lastRenderedPageBreak/>
        <w:t>《</w:t>
      </w:r>
      <w:r w:rsidRPr="00016312">
        <w:rPr>
          <w:rFonts w:ascii="楷体_GB2312" w:eastAsia="楷体_GB2312" w:hint="eastAsia"/>
          <w:sz w:val="30"/>
          <w:szCs w:val="30"/>
        </w:rPr>
        <w:t>条例</w:t>
      </w:r>
      <w:r w:rsidRPr="00016312">
        <w:rPr>
          <w:rFonts w:ascii="楷体_GB2312" w:eastAsia="楷体_GB2312" w:hint="eastAsia"/>
          <w:sz w:val="30"/>
          <w:szCs w:val="30"/>
        </w:rPr>
        <w:t>》</w:t>
      </w:r>
      <w:r w:rsidRPr="00016312">
        <w:rPr>
          <w:rFonts w:ascii="楷体_GB2312" w:eastAsia="楷体_GB2312" w:hint="eastAsia"/>
          <w:sz w:val="30"/>
          <w:szCs w:val="30"/>
        </w:rPr>
        <w:t>与</w:t>
      </w:r>
      <w:r w:rsidRPr="00016312">
        <w:rPr>
          <w:rFonts w:ascii="楷体_GB2312" w:eastAsia="楷体_GB2312" w:hint="eastAsia"/>
          <w:sz w:val="30"/>
          <w:szCs w:val="30"/>
        </w:rPr>
        <w:t>《</w:t>
      </w:r>
      <w:r w:rsidRPr="00016312">
        <w:rPr>
          <w:rFonts w:ascii="楷体_GB2312" w:eastAsia="楷体_GB2312" w:hint="eastAsia"/>
          <w:sz w:val="30"/>
          <w:szCs w:val="30"/>
        </w:rPr>
        <w:t>政府采购法</w:t>
      </w:r>
      <w:r w:rsidRPr="00016312">
        <w:rPr>
          <w:rFonts w:ascii="楷体_GB2312" w:eastAsia="楷体_GB2312" w:hint="eastAsia"/>
          <w:sz w:val="30"/>
          <w:szCs w:val="30"/>
        </w:rPr>
        <w:t>》</w:t>
      </w:r>
      <w:r w:rsidRPr="00016312">
        <w:rPr>
          <w:rFonts w:ascii="楷体_GB2312" w:eastAsia="楷体_GB2312" w:hint="eastAsia"/>
          <w:sz w:val="30"/>
          <w:szCs w:val="30"/>
        </w:rPr>
        <w:t>、</w:t>
      </w:r>
      <w:r w:rsidRPr="00016312">
        <w:rPr>
          <w:rFonts w:ascii="楷体_GB2312" w:eastAsia="楷体_GB2312" w:hint="eastAsia"/>
          <w:sz w:val="30"/>
          <w:szCs w:val="30"/>
        </w:rPr>
        <w:t>《</w:t>
      </w:r>
      <w:r w:rsidRPr="00016312">
        <w:rPr>
          <w:rFonts w:ascii="楷体_GB2312" w:eastAsia="楷体_GB2312" w:hint="eastAsia"/>
          <w:sz w:val="30"/>
          <w:szCs w:val="30"/>
        </w:rPr>
        <w:t>招标投标法</w:t>
      </w:r>
      <w:r w:rsidRPr="00016312">
        <w:rPr>
          <w:rFonts w:ascii="楷体_GB2312" w:eastAsia="楷体_GB2312" w:hint="eastAsia"/>
          <w:sz w:val="30"/>
          <w:szCs w:val="30"/>
        </w:rPr>
        <w:t>》</w:t>
      </w:r>
      <w:r w:rsidRPr="00016312">
        <w:rPr>
          <w:rFonts w:ascii="楷体_GB2312" w:eastAsia="楷体_GB2312" w:hint="eastAsia"/>
          <w:sz w:val="30"/>
          <w:szCs w:val="30"/>
        </w:rPr>
        <w:t>的衔接</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w:t>
      </w:r>
      <w:r w:rsidRPr="00016312">
        <w:rPr>
          <w:rFonts w:ascii="楷体_GB2312" w:eastAsia="楷体_GB2312" w:hint="eastAsia"/>
          <w:sz w:val="30"/>
          <w:szCs w:val="30"/>
        </w:rPr>
        <w:t>条例</w:t>
      </w:r>
      <w:r w:rsidRPr="00016312">
        <w:rPr>
          <w:rFonts w:ascii="楷体_GB2312" w:eastAsia="楷体_GB2312" w:hint="eastAsia"/>
          <w:sz w:val="30"/>
          <w:szCs w:val="30"/>
        </w:rPr>
        <w:t>》</w:t>
      </w:r>
      <w:r w:rsidRPr="00016312">
        <w:rPr>
          <w:rFonts w:ascii="楷体_GB2312" w:eastAsia="楷体_GB2312" w:hint="eastAsia"/>
          <w:sz w:val="30"/>
          <w:szCs w:val="30"/>
        </w:rPr>
        <w:t>第</w:t>
      </w:r>
      <w:r w:rsidRPr="00016312">
        <w:rPr>
          <w:rFonts w:ascii="楷体_GB2312" w:eastAsia="楷体_GB2312" w:hint="eastAsia"/>
          <w:sz w:val="30"/>
          <w:szCs w:val="30"/>
        </w:rPr>
        <w:t>4</w:t>
      </w:r>
      <w:r w:rsidRPr="00016312">
        <w:rPr>
          <w:rFonts w:ascii="楷体_GB2312" w:eastAsia="楷体_GB2312" w:hint="eastAsia"/>
          <w:sz w:val="30"/>
          <w:szCs w:val="30"/>
        </w:rPr>
        <w:t>条：财政部门依法对实行招标投标的政府采购工程建设项目的预算执行情况和政府采购政策执行情况实施监督。</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三、关于招标范围</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第三条</w:t>
      </w:r>
      <w:r w:rsidRPr="00016312">
        <w:rPr>
          <w:rFonts w:ascii="楷体_GB2312" w:eastAsia="楷体_GB2312" w:hint="eastAsia"/>
          <w:sz w:val="30"/>
          <w:szCs w:val="30"/>
        </w:rPr>
        <w:t xml:space="preserve">　依法必须进行招标的工程建设项目的具体范围和规模标准，由国务院发展改革部门会同国务院有关部门制订，报国务院批准后公布施行。</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原征求意见稿</w:t>
      </w:r>
      <w:r w:rsidRPr="00016312">
        <w:rPr>
          <w:rFonts w:ascii="楷体_GB2312" w:eastAsia="楷体_GB2312" w:hint="eastAsia"/>
          <w:sz w:val="30"/>
          <w:szCs w:val="30"/>
        </w:rPr>
        <w:t>第四条：“依法必须进行招标的工程建设项目的具体范围和规模标准，由国务院发展改革部门会同国务院有关部门制订并根据实际需要进行调整，报国务院批准后执行。省、自治区、直辖市人民政府根据实际情况，可以规定本行政区域内必须进行招标的具体范围和规模标准，但不得缩小国务院确定的必须进行招标的范围，不得提高国务院确定的规模标准，也不得授权下级人民政府自行确定必须进行招标的范围和规模标准。”</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四、交易市场和交易形式</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第五条</w:t>
      </w:r>
      <w:r w:rsidRPr="00016312">
        <w:rPr>
          <w:rFonts w:ascii="楷体_GB2312" w:eastAsia="楷体_GB2312" w:hint="eastAsia"/>
          <w:sz w:val="30"/>
          <w:szCs w:val="30"/>
        </w:rPr>
        <w:t xml:space="preserve">　设区的市级以上地方人民政府可以根据实际需要，建立统一规范的招标投标交易场所，为招标投标活动提供服务。招标投标交易场所不得与行政监督部门存在隶属关系，不得以营利为目的。</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国家鼓励利用信息网络进行电子招标投标。</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五、关于招标方式的选择</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谁有权决定？</w:t>
      </w:r>
      <w:r w:rsidRPr="00016312">
        <w:rPr>
          <w:rFonts w:ascii="楷体_GB2312" w:eastAsia="楷体_GB2312" w:hint="eastAsia"/>
          <w:b/>
          <w:bCs/>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第七条</w:t>
      </w:r>
      <w:r w:rsidRPr="00016312">
        <w:rPr>
          <w:rFonts w:ascii="楷体_GB2312" w:eastAsia="楷体_GB2312" w:hint="eastAsia"/>
          <w:sz w:val="30"/>
          <w:szCs w:val="30"/>
        </w:rPr>
        <w:t xml:space="preserve">　按照国家有关规定需要履行项目审批、核准手续的依法必须</w:t>
      </w:r>
      <w:r w:rsidRPr="00016312">
        <w:rPr>
          <w:rFonts w:ascii="楷体_GB2312" w:eastAsia="楷体_GB2312" w:hint="eastAsia"/>
          <w:sz w:val="30"/>
          <w:szCs w:val="30"/>
        </w:rPr>
        <w:lastRenderedPageBreak/>
        <w:t>进行招标的项目，其招标范围、招标方式、招标组织形式应当</w:t>
      </w:r>
      <w:proofErr w:type="gramStart"/>
      <w:r w:rsidRPr="00016312">
        <w:rPr>
          <w:rFonts w:ascii="楷体_GB2312" w:eastAsia="楷体_GB2312" w:hint="eastAsia"/>
          <w:sz w:val="30"/>
          <w:szCs w:val="30"/>
        </w:rPr>
        <w:t>报项目</w:t>
      </w:r>
      <w:proofErr w:type="gramEnd"/>
      <w:r w:rsidRPr="00016312">
        <w:rPr>
          <w:rFonts w:ascii="楷体_GB2312" w:eastAsia="楷体_GB2312" w:hint="eastAsia"/>
          <w:sz w:val="30"/>
          <w:szCs w:val="30"/>
        </w:rPr>
        <w:t>审批、核准部门审批、核准。项目审批、核准部门应当及时将审批、核准确定的招标范围、招标方式、招标组织形式通报有关行政监督部门。</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国有资金占控股或者主导地位的依法必须进行招标的项目</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第八条</w:t>
      </w:r>
      <w:r w:rsidRPr="00016312">
        <w:rPr>
          <w:rFonts w:ascii="楷体_GB2312" w:eastAsia="楷体_GB2312" w:hint="eastAsia"/>
          <w:sz w:val="30"/>
          <w:szCs w:val="30"/>
        </w:rPr>
        <w:t xml:space="preserve">　国有资金占控股或者主导地位的依法必须进行招标的项目，应当公开招标；但有下列情形之一的，可以邀请招标：</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（一）技术复杂、有特殊要求或者受自然环境限制，只有少量潜在投标人可供选择；</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（二）采用公开招标方式的费用占项目合同金额的比例过大。</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有前款第二项所列情形，属于本条例第七条规定的项目，由项目审批、核准部门在审批、核准项目时</w:t>
      </w:r>
      <w:proofErr w:type="gramStart"/>
      <w:r w:rsidRPr="00016312">
        <w:rPr>
          <w:rFonts w:ascii="楷体_GB2312" w:eastAsia="楷体_GB2312" w:hint="eastAsia"/>
          <w:sz w:val="30"/>
          <w:szCs w:val="30"/>
        </w:rPr>
        <w:t>作出</w:t>
      </w:r>
      <w:proofErr w:type="gramEnd"/>
      <w:r w:rsidRPr="00016312">
        <w:rPr>
          <w:rFonts w:ascii="楷体_GB2312" w:eastAsia="楷体_GB2312" w:hint="eastAsia"/>
          <w:sz w:val="30"/>
          <w:szCs w:val="30"/>
        </w:rPr>
        <w:t>认定；其他项目由招标人申请有关行政监督部门</w:t>
      </w:r>
      <w:proofErr w:type="gramStart"/>
      <w:r w:rsidRPr="00016312">
        <w:rPr>
          <w:rFonts w:ascii="楷体_GB2312" w:eastAsia="楷体_GB2312" w:hint="eastAsia"/>
          <w:sz w:val="30"/>
          <w:szCs w:val="30"/>
        </w:rPr>
        <w:t>作出</w:t>
      </w:r>
      <w:proofErr w:type="gramEnd"/>
      <w:r w:rsidRPr="00016312">
        <w:rPr>
          <w:rFonts w:ascii="楷体_GB2312" w:eastAsia="楷体_GB2312" w:hint="eastAsia"/>
          <w:sz w:val="30"/>
          <w:szCs w:val="30"/>
        </w:rPr>
        <w:t>认定。</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可以不进行招标的情形</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第九条</w:t>
      </w:r>
      <w:r w:rsidRPr="00016312">
        <w:rPr>
          <w:rFonts w:ascii="楷体_GB2312" w:eastAsia="楷体_GB2312" w:hint="eastAsia"/>
          <w:sz w:val="30"/>
          <w:szCs w:val="30"/>
        </w:rPr>
        <w:t xml:space="preserve">　除招标投标法第六十六条规定的可以不进行招标的特殊情况外，有下列情形之一的，可以不进行招标：</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（一）需要采用不可替代的专利或者专有技术；</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（二）采购人依法能够自行建设、生产或者提供；</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（三）已通过招标方式选定的特许经营项目投资人依法能够自行建设、生产或者提供；</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（四）需要向原中标人采购工程、货物或者服务，否则将影响施工或者功能配套要求；</w:t>
      </w:r>
      <w:r w:rsidRPr="00016312">
        <w:rPr>
          <w:rFonts w:ascii="楷体_GB2312" w:eastAsia="楷体_GB2312" w:hint="eastAsia"/>
          <w:sz w:val="30"/>
          <w:szCs w:val="30"/>
        </w:rPr>
        <w:br/>
      </w:r>
      <w:r w:rsidRPr="00016312">
        <w:rPr>
          <w:rFonts w:eastAsia="楷体_GB2312" w:hint="eastAsia"/>
          <w:sz w:val="30"/>
          <w:szCs w:val="30"/>
        </w:rPr>
        <w:lastRenderedPageBreak/>
        <w:t>    </w:t>
      </w:r>
      <w:r w:rsidRPr="00016312">
        <w:rPr>
          <w:rFonts w:ascii="楷体_GB2312" w:eastAsia="楷体_GB2312" w:hint="eastAsia"/>
          <w:sz w:val="30"/>
          <w:szCs w:val="30"/>
        </w:rPr>
        <w:t>（五）国家规定的其他特殊情形。</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招标人为适用前款规定弄虚作假的，属于招标投标法第四条规定的规避招标。</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六、关于招标师</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第十二条</w:t>
      </w:r>
      <w:r w:rsidRPr="00016312">
        <w:rPr>
          <w:rFonts w:ascii="楷体_GB2312" w:eastAsia="楷体_GB2312" w:hint="eastAsia"/>
          <w:sz w:val="30"/>
          <w:szCs w:val="30"/>
        </w:rPr>
        <w:t xml:space="preserve">　招标代理机构应当拥有一定数量的取得招标职业资格的专业人员。取得招标职业资格的具体办法由国务院人力资源社会保障部门会同国务院发展改革部门制定。</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七、资格预审</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第十五条</w:t>
      </w:r>
      <w:r w:rsidRPr="00016312">
        <w:rPr>
          <w:rFonts w:ascii="楷体_GB2312" w:eastAsia="楷体_GB2312" w:hint="eastAsia"/>
          <w:sz w:val="30"/>
          <w:szCs w:val="30"/>
        </w:rPr>
        <w:t xml:space="preserve">　公开招标的项目，应当依照招标投标法和本条例的规定发布招标公告、编制招标文件。</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招标人采用资格预审办法对潜在投标人进行资格审查的，应当发布资格预审公告、编制资格预审文件。</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编制依法必须进行招标的项目的资格预审文件和招标文件，应当使用国务院发展改革部门会同有关行政监督部门制定的标准文本。</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八、资格预审文件或者招标文件的发售</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第十六条</w:t>
      </w:r>
      <w:r w:rsidRPr="00016312">
        <w:rPr>
          <w:rFonts w:ascii="楷体_GB2312" w:eastAsia="楷体_GB2312" w:hint="eastAsia"/>
          <w:sz w:val="30"/>
          <w:szCs w:val="30"/>
        </w:rPr>
        <w:t xml:space="preserve">　招标人应当按照资格预审公告、招标公告或者投标邀请书规定的时间、地点发售资格预审文件或者招标文件。</w:t>
      </w:r>
      <w:r w:rsidRPr="00016312">
        <w:rPr>
          <w:rFonts w:ascii="楷体_GB2312" w:eastAsia="楷体_GB2312" w:hint="eastAsia"/>
          <w:sz w:val="30"/>
          <w:szCs w:val="30"/>
        </w:rPr>
        <w:t>资格预审文件或者招标文件的发售期不得少于</w:t>
      </w:r>
      <w:r w:rsidRPr="00016312">
        <w:rPr>
          <w:rFonts w:ascii="楷体_GB2312" w:eastAsia="楷体_GB2312" w:hint="eastAsia"/>
          <w:sz w:val="30"/>
          <w:szCs w:val="30"/>
        </w:rPr>
        <w:t>5</w:t>
      </w:r>
      <w:r w:rsidRPr="00016312">
        <w:rPr>
          <w:rFonts w:ascii="楷体_GB2312" w:eastAsia="楷体_GB2312" w:hint="eastAsia"/>
          <w:sz w:val="30"/>
          <w:szCs w:val="30"/>
        </w:rPr>
        <w:t>日。</w:t>
      </w:r>
      <w:r w:rsidRPr="00016312">
        <w:rPr>
          <w:rFonts w:ascii="楷体_GB2312" w:eastAsia="楷体_GB2312" w:hint="eastAsia"/>
          <w:sz w:val="30"/>
          <w:szCs w:val="30"/>
        </w:rPr>
        <w:br/>
      </w:r>
      <w:r w:rsidRPr="00016312">
        <w:rPr>
          <w:rFonts w:eastAsia="楷体_GB2312" w:hint="eastAsia"/>
          <w:sz w:val="30"/>
          <w:szCs w:val="30"/>
        </w:rPr>
        <w:lastRenderedPageBreak/>
        <w:t>    </w:t>
      </w:r>
      <w:r w:rsidRPr="00016312">
        <w:rPr>
          <w:rFonts w:ascii="楷体_GB2312" w:eastAsia="楷体_GB2312" w:hint="eastAsia"/>
          <w:sz w:val="30"/>
          <w:szCs w:val="30"/>
        </w:rPr>
        <w:t>招标人发售资格预审文件、招标文件收取的费用应当限于补偿印刷、邮寄的成本支出，不得以营利为目的。</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如果终止招标</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第三十一条</w:t>
      </w:r>
      <w:r w:rsidRPr="00016312">
        <w:rPr>
          <w:rFonts w:ascii="楷体_GB2312" w:eastAsia="楷体_GB2312" w:hint="eastAsia"/>
          <w:sz w:val="30"/>
          <w:szCs w:val="30"/>
        </w:rPr>
        <w:t xml:space="preserve">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九、关于招标项目划分标段</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第二十四条</w:t>
      </w:r>
      <w:r w:rsidRPr="00016312">
        <w:rPr>
          <w:rFonts w:ascii="楷体_GB2312" w:eastAsia="楷体_GB2312" w:hint="eastAsia"/>
          <w:sz w:val="30"/>
          <w:szCs w:val="30"/>
        </w:rPr>
        <w:t xml:space="preserve">　招标人对招标项目划分标段的，应当遵守招标投标法的有关规定，不得利用划分标段限制或者排斥潜在投标人。依法必须进行招标的项目的招标人不得利用划分标段规避招标。</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十、投标有效期</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第二十五条</w:t>
      </w:r>
      <w:r w:rsidRPr="00016312">
        <w:rPr>
          <w:rFonts w:ascii="楷体_GB2312" w:eastAsia="楷体_GB2312" w:hint="eastAsia"/>
          <w:sz w:val="30"/>
          <w:szCs w:val="30"/>
        </w:rPr>
        <w:t xml:space="preserve">　招标人应当在招标文件中载明投标有效期。投标有效期从提交投标文件的截止之日起算。</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十一、投标保证金</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第二十六条</w:t>
      </w:r>
      <w:r w:rsidRPr="00016312">
        <w:rPr>
          <w:rFonts w:ascii="楷体_GB2312" w:eastAsia="楷体_GB2312" w:hint="eastAsia"/>
          <w:sz w:val="30"/>
          <w:szCs w:val="30"/>
        </w:rPr>
        <w:t xml:space="preserve">　招标人在招标文件中要求投标人提交投标保证金的，投标保证金不得超过招标项目估算价的</w:t>
      </w:r>
      <w:r w:rsidRPr="00016312">
        <w:rPr>
          <w:rFonts w:ascii="楷体_GB2312" w:eastAsia="楷体_GB2312" w:hint="eastAsia"/>
          <w:sz w:val="30"/>
          <w:szCs w:val="30"/>
        </w:rPr>
        <w:t>2%</w:t>
      </w:r>
      <w:r w:rsidRPr="00016312">
        <w:rPr>
          <w:rFonts w:ascii="楷体_GB2312" w:eastAsia="楷体_GB2312" w:hint="eastAsia"/>
          <w:sz w:val="30"/>
          <w:szCs w:val="30"/>
        </w:rPr>
        <w:t>。投标保证金有效期应当与投标有效期一致。</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依法必须进行招标的项目的境内投标单位，以现金或者支票形式提交的投标保证金应当从其基本账户转出。</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招标人不得挪用投标保证金。</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lastRenderedPageBreak/>
        <w:t>以前的规定应当统一，甚至“施工”，规定，是超出投标有效期</w:t>
      </w:r>
      <w:r w:rsidRPr="00016312">
        <w:rPr>
          <w:rFonts w:ascii="楷体_GB2312" w:eastAsia="楷体_GB2312" w:hint="eastAsia"/>
          <w:sz w:val="30"/>
          <w:szCs w:val="30"/>
        </w:rPr>
        <w:t>30</w:t>
      </w:r>
      <w:r w:rsidRPr="00016312">
        <w:rPr>
          <w:rFonts w:ascii="楷体_GB2312" w:eastAsia="楷体_GB2312" w:hint="eastAsia"/>
          <w:sz w:val="30"/>
          <w:szCs w:val="30"/>
        </w:rPr>
        <w:t>天；“货物”，规定，投标保证金有效期应当与投标有效期一致。</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退还投标保证金</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57</w:t>
      </w:r>
      <w:r w:rsidRPr="00016312">
        <w:rPr>
          <w:rFonts w:ascii="楷体_GB2312" w:eastAsia="楷体_GB2312" w:hint="eastAsia"/>
          <w:sz w:val="30"/>
          <w:szCs w:val="30"/>
        </w:rPr>
        <w:t>条规定：“招标人最迟应当在书面合同签订后</w:t>
      </w:r>
      <w:r w:rsidRPr="00016312">
        <w:rPr>
          <w:rFonts w:ascii="楷体_GB2312" w:eastAsia="楷体_GB2312" w:hint="eastAsia"/>
          <w:sz w:val="30"/>
          <w:szCs w:val="30"/>
        </w:rPr>
        <w:t>5</w:t>
      </w:r>
      <w:r w:rsidRPr="00016312">
        <w:rPr>
          <w:rFonts w:ascii="楷体_GB2312" w:eastAsia="楷体_GB2312" w:hint="eastAsia"/>
          <w:sz w:val="30"/>
          <w:szCs w:val="30"/>
        </w:rPr>
        <w:t>日内向中标人和未中标的投标人退还投标保证金及银行同期存款利息。”</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投标保证金不予退还</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投标人在投标阶段存在违反承诺行为，招标人按照招标文件的规定不予退还其投标保证金，以维护自身利益的行为。按照</w:t>
      </w:r>
      <w:r w:rsidRPr="00016312">
        <w:rPr>
          <w:rFonts w:ascii="楷体_GB2312" w:eastAsia="楷体_GB2312" w:hint="eastAsia"/>
          <w:sz w:val="30"/>
          <w:szCs w:val="30"/>
        </w:rPr>
        <w:t>《</w:t>
      </w:r>
      <w:r w:rsidRPr="00016312">
        <w:rPr>
          <w:rFonts w:ascii="楷体_GB2312" w:eastAsia="楷体_GB2312" w:hint="eastAsia"/>
          <w:sz w:val="30"/>
          <w:szCs w:val="30"/>
        </w:rPr>
        <w:t>招标投标法实施条例</w:t>
      </w:r>
      <w:r w:rsidRPr="00016312">
        <w:rPr>
          <w:rFonts w:ascii="楷体_GB2312" w:eastAsia="楷体_GB2312" w:hint="eastAsia"/>
          <w:sz w:val="30"/>
          <w:szCs w:val="30"/>
        </w:rPr>
        <w:t>》</w:t>
      </w:r>
      <w:r w:rsidRPr="00016312">
        <w:rPr>
          <w:rFonts w:ascii="楷体_GB2312" w:eastAsia="楷体_GB2312" w:hint="eastAsia"/>
          <w:sz w:val="30"/>
          <w:szCs w:val="30"/>
        </w:rPr>
        <w:t>的规定：投标截止后投标人撤销投标文件的，招标人可以不退还投标保证金；中标人无正当理由不与招标人订立合同，在签订合同时向招标人提出附加条件，或者不按照招标文件要求提交履约保证金的，取消其中标资格，投标保证金不予退还。</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十二、关于成本和最低报价</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27</w:t>
      </w:r>
      <w:r w:rsidRPr="00016312">
        <w:rPr>
          <w:rFonts w:ascii="楷体_GB2312" w:eastAsia="楷体_GB2312" w:hint="eastAsia"/>
          <w:sz w:val="30"/>
          <w:szCs w:val="30"/>
        </w:rPr>
        <w:t>条：招标人设有最高投标限价的，应当在招标文件中明确最高投标限价或者最高投标限价的计算方法。招标人不得规定最低投标限价。</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关于成本</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第五十一条</w:t>
      </w:r>
      <w:r w:rsidRPr="00016312">
        <w:rPr>
          <w:rFonts w:ascii="楷体_GB2312" w:eastAsia="楷体_GB2312" w:hint="eastAsia"/>
          <w:sz w:val="30"/>
          <w:szCs w:val="30"/>
        </w:rPr>
        <w:t xml:space="preserve">　有下列情形之一的，评标委员会应当否决其投标：</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（五）投标报价低于成本或者高于招标文件设定的最高投标限价；</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关于成本问题</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朱树英</w:t>
      </w:r>
      <w:r w:rsidRPr="00016312">
        <w:rPr>
          <w:rFonts w:ascii="楷体_GB2312" w:eastAsia="楷体_GB2312" w:hint="eastAsia"/>
          <w:sz w:val="30"/>
          <w:szCs w:val="30"/>
        </w:rPr>
        <w:t>的</w:t>
      </w:r>
      <w:r w:rsidRPr="00016312">
        <w:rPr>
          <w:rFonts w:ascii="楷体_GB2312" w:eastAsia="楷体_GB2312" w:hint="eastAsia"/>
          <w:sz w:val="30"/>
          <w:szCs w:val="30"/>
        </w:rPr>
        <w:t>《</w:t>
      </w:r>
      <w:r w:rsidRPr="00016312">
        <w:rPr>
          <w:rFonts w:ascii="楷体_GB2312" w:eastAsia="楷体_GB2312" w:hint="eastAsia"/>
          <w:sz w:val="30"/>
          <w:szCs w:val="30"/>
        </w:rPr>
        <w:t>第九届</w:t>
      </w:r>
      <w:r w:rsidRPr="00016312">
        <w:rPr>
          <w:rFonts w:ascii="楷体_GB2312" w:eastAsia="楷体_GB2312" w:hint="eastAsia"/>
          <w:sz w:val="30"/>
          <w:szCs w:val="30"/>
        </w:rPr>
        <w:t>21</w:t>
      </w:r>
      <w:r w:rsidRPr="00016312">
        <w:rPr>
          <w:rFonts w:ascii="楷体_GB2312" w:eastAsia="楷体_GB2312" w:hint="eastAsia"/>
          <w:sz w:val="30"/>
          <w:szCs w:val="30"/>
        </w:rPr>
        <w:t>世纪中国建筑企业家论坛回放依现有法律规定应废止建设工程最低价中标</w:t>
      </w:r>
      <w:r w:rsidRPr="00016312">
        <w:rPr>
          <w:rFonts w:ascii="楷体_GB2312" w:eastAsia="楷体_GB2312" w:hint="eastAsia"/>
          <w:sz w:val="30"/>
          <w:szCs w:val="30"/>
        </w:rPr>
        <w:t>》</w:t>
      </w:r>
      <w:r w:rsidRPr="00016312">
        <w:rPr>
          <w:rFonts w:ascii="楷体_GB2312" w:eastAsia="楷体_GB2312" w:hint="eastAsia"/>
          <w:sz w:val="30"/>
          <w:szCs w:val="30"/>
        </w:rPr>
        <w:t>（</w:t>
      </w:r>
      <w:r w:rsidRPr="00016312">
        <w:rPr>
          <w:rFonts w:ascii="楷体_GB2312" w:eastAsia="楷体_GB2312" w:hint="eastAsia"/>
          <w:sz w:val="30"/>
          <w:szCs w:val="30"/>
        </w:rPr>
        <w:t>《</w:t>
      </w:r>
      <w:r w:rsidRPr="00016312">
        <w:rPr>
          <w:rFonts w:ascii="楷体_GB2312" w:eastAsia="楷体_GB2312" w:hint="eastAsia"/>
          <w:sz w:val="30"/>
          <w:szCs w:val="30"/>
        </w:rPr>
        <w:t>建造时报</w:t>
      </w:r>
      <w:r w:rsidRPr="00016312">
        <w:rPr>
          <w:rFonts w:ascii="楷体_GB2312" w:eastAsia="楷体_GB2312" w:hint="eastAsia"/>
          <w:sz w:val="30"/>
          <w:szCs w:val="30"/>
        </w:rPr>
        <w:t>》</w:t>
      </w:r>
      <w:r w:rsidRPr="00016312">
        <w:rPr>
          <w:rFonts w:ascii="楷体_GB2312" w:eastAsia="楷体_GB2312" w:hint="eastAsia"/>
          <w:sz w:val="30"/>
          <w:szCs w:val="30"/>
        </w:rPr>
        <w:t>2009.10.26</w:t>
      </w:r>
      <w:r w:rsidRPr="00016312">
        <w:rPr>
          <w:rFonts w:ascii="楷体_GB2312" w:eastAsia="楷体_GB2312" w:hint="eastAsia"/>
          <w:sz w:val="30"/>
          <w:szCs w:val="30"/>
        </w:rPr>
        <w:t>），孙贤程的两篇</w:t>
      </w:r>
      <w:r w:rsidRPr="00016312">
        <w:rPr>
          <w:rFonts w:ascii="楷体_GB2312" w:eastAsia="楷体_GB2312" w:hint="eastAsia"/>
          <w:sz w:val="30"/>
          <w:szCs w:val="30"/>
        </w:rPr>
        <w:lastRenderedPageBreak/>
        <w:t>文章</w:t>
      </w:r>
      <w:r w:rsidRPr="00016312">
        <w:rPr>
          <w:rFonts w:ascii="楷体_GB2312" w:eastAsia="楷体_GB2312" w:hint="eastAsia"/>
          <w:sz w:val="30"/>
          <w:szCs w:val="30"/>
        </w:rPr>
        <w:t>《</w:t>
      </w:r>
      <w:r w:rsidRPr="00016312">
        <w:rPr>
          <w:rFonts w:ascii="楷体_GB2312" w:eastAsia="楷体_GB2312" w:hint="eastAsia"/>
          <w:sz w:val="30"/>
          <w:szCs w:val="30"/>
        </w:rPr>
        <w:t>60</w:t>
      </w:r>
      <w:r w:rsidRPr="00016312">
        <w:rPr>
          <w:rFonts w:ascii="楷体_GB2312" w:eastAsia="楷体_GB2312" w:hint="eastAsia"/>
          <w:sz w:val="30"/>
          <w:szCs w:val="30"/>
        </w:rPr>
        <w:t>余家特企老总呼吁“叫停”最低价中标</w:t>
      </w:r>
      <w:r w:rsidRPr="00016312">
        <w:rPr>
          <w:rFonts w:ascii="楷体_GB2312" w:eastAsia="楷体_GB2312" w:hint="eastAsia"/>
          <w:sz w:val="30"/>
          <w:szCs w:val="30"/>
        </w:rPr>
        <w:t>》</w:t>
      </w:r>
      <w:r w:rsidRPr="00016312">
        <w:rPr>
          <w:rFonts w:ascii="楷体_GB2312" w:eastAsia="楷体_GB2312" w:hint="eastAsia"/>
          <w:sz w:val="30"/>
          <w:szCs w:val="30"/>
        </w:rPr>
        <w:t>（</w:t>
      </w:r>
      <w:r w:rsidRPr="00016312">
        <w:rPr>
          <w:rFonts w:ascii="楷体_GB2312" w:eastAsia="楷体_GB2312" w:hint="eastAsia"/>
          <w:sz w:val="30"/>
          <w:szCs w:val="30"/>
        </w:rPr>
        <w:t>《</w:t>
      </w:r>
      <w:r w:rsidRPr="00016312">
        <w:rPr>
          <w:rFonts w:ascii="楷体_GB2312" w:eastAsia="楷体_GB2312" w:hint="eastAsia"/>
          <w:sz w:val="30"/>
          <w:szCs w:val="30"/>
        </w:rPr>
        <w:t>建造时报</w:t>
      </w:r>
      <w:r w:rsidRPr="00016312">
        <w:rPr>
          <w:rFonts w:ascii="楷体_GB2312" w:eastAsia="楷体_GB2312" w:hint="eastAsia"/>
          <w:sz w:val="30"/>
          <w:szCs w:val="30"/>
        </w:rPr>
        <w:t>》</w:t>
      </w:r>
      <w:r w:rsidRPr="00016312">
        <w:rPr>
          <w:rFonts w:ascii="楷体_GB2312" w:eastAsia="楷体_GB2312" w:hint="eastAsia"/>
          <w:sz w:val="30"/>
          <w:szCs w:val="30"/>
        </w:rPr>
        <w:t>2009.12.7</w:t>
      </w:r>
      <w:r w:rsidRPr="00016312">
        <w:rPr>
          <w:rFonts w:ascii="楷体_GB2312" w:eastAsia="楷体_GB2312" w:hint="eastAsia"/>
          <w:sz w:val="30"/>
          <w:szCs w:val="30"/>
        </w:rPr>
        <w:t>）和</w:t>
      </w:r>
      <w:r w:rsidRPr="00016312">
        <w:rPr>
          <w:rFonts w:ascii="楷体_GB2312" w:eastAsia="楷体_GB2312" w:hint="eastAsia"/>
          <w:sz w:val="30"/>
          <w:szCs w:val="30"/>
        </w:rPr>
        <w:t>《</w:t>
      </w:r>
      <w:r w:rsidRPr="00016312">
        <w:rPr>
          <w:rFonts w:ascii="楷体_GB2312" w:eastAsia="楷体_GB2312" w:hint="eastAsia"/>
          <w:sz w:val="30"/>
          <w:szCs w:val="30"/>
        </w:rPr>
        <w:t>直面最低价中标七大问题</w:t>
      </w:r>
      <w:r w:rsidRPr="00016312">
        <w:rPr>
          <w:rFonts w:ascii="楷体_GB2312" w:eastAsia="楷体_GB2312" w:hint="eastAsia"/>
          <w:sz w:val="30"/>
          <w:szCs w:val="30"/>
        </w:rPr>
        <w:t>》</w:t>
      </w:r>
      <w:r w:rsidRPr="00016312">
        <w:rPr>
          <w:rFonts w:ascii="楷体_GB2312" w:eastAsia="楷体_GB2312" w:hint="eastAsia"/>
          <w:sz w:val="30"/>
          <w:szCs w:val="30"/>
        </w:rPr>
        <w:t>（</w:t>
      </w:r>
      <w:r w:rsidRPr="00016312">
        <w:rPr>
          <w:rFonts w:ascii="楷体_GB2312" w:eastAsia="楷体_GB2312" w:hint="eastAsia"/>
          <w:sz w:val="30"/>
          <w:szCs w:val="30"/>
        </w:rPr>
        <w:t>《</w:t>
      </w:r>
      <w:r w:rsidRPr="00016312">
        <w:rPr>
          <w:rFonts w:ascii="楷体_GB2312" w:eastAsia="楷体_GB2312" w:hint="eastAsia"/>
          <w:sz w:val="30"/>
          <w:szCs w:val="30"/>
        </w:rPr>
        <w:t>建造时报</w:t>
      </w:r>
      <w:r w:rsidRPr="00016312">
        <w:rPr>
          <w:rFonts w:ascii="楷体_GB2312" w:eastAsia="楷体_GB2312" w:hint="eastAsia"/>
          <w:sz w:val="30"/>
          <w:szCs w:val="30"/>
        </w:rPr>
        <w:t>》</w:t>
      </w:r>
      <w:r w:rsidRPr="00016312">
        <w:rPr>
          <w:rFonts w:ascii="楷体_GB2312" w:eastAsia="楷体_GB2312" w:hint="eastAsia"/>
          <w:sz w:val="30"/>
          <w:szCs w:val="30"/>
        </w:rPr>
        <w:t>2009.12.3</w:t>
      </w:r>
      <w:r w:rsidRPr="00016312">
        <w:rPr>
          <w:rFonts w:ascii="楷体_GB2312" w:eastAsia="楷体_GB2312" w:hint="eastAsia"/>
          <w:sz w:val="30"/>
          <w:szCs w:val="30"/>
        </w:rPr>
        <w:t>）。</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反对低价的观点</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朱树英律师，在演讲中主要提了三个问题：（</w:t>
      </w:r>
      <w:r w:rsidRPr="00016312">
        <w:rPr>
          <w:rFonts w:ascii="楷体_GB2312" w:eastAsia="楷体_GB2312" w:hint="eastAsia"/>
          <w:sz w:val="30"/>
          <w:szCs w:val="30"/>
        </w:rPr>
        <w:t>1</w:t>
      </w:r>
      <w:r w:rsidRPr="00016312">
        <w:rPr>
          <w:rFonts w:ascii="楷体_GB2312" w:eastAsia="楷体_GB2312" w:hint="eastAsia"/>
          <w:sz w:val="30"/>
          <w:szCs w:val="30"/>
        </w:rPr>
        <w:t>）最近国内两次重大工程事故与最低价中标的关系，认为上海闵行莲花河畔倒楼事故和杭州地铁一号</w:t>
      </w:r>
      <w:proofErr w:type="gramStart"/>
      <w:r w:rsidRPr="00016312">
        <w:rPr>
          <w:rFonts w:ascii="楷体_GB2312" w:eastAsia="楷体_GB2312" w:hint="eastAsia"/>
          <w:sz w:val="30"/>
          <w:szCs w:val="30"/>
        </w:rPr>
        <w:t>线湘湖站跨</w:t>
      </w:r>
      <w:proofErr w:type="gramEnd"/>
      <w:r w:rsidRPr="00016312">
        <w:rPr>
          <w:rFonts w:ascii="楷体_GB2312" w:eastAsia="楷体_GB2312" w:hint="eastAsia"/>
          <w:sz w:val="30"/>
          <w:szCs w:val="30"/>
        </w:rPr>
        <w:t>塌事故，可以确认最低价中标就是事故发生深层次的原因；（</w:t>
      </w:r>
      <w:r w:rsidRPr="00016312">
        <w:rPr>
          <w:rFonts w:ascii="楷体_GB2312" w:eastAsia="楷体_GB2312" w:hint="eastAsia"/>
          <w:sz w:val="30"/>
          <w:szCs w:val="30"/>
        </w:rPr>
        <w:t>2</w:t>
      </w:r>
      <w:r w:rsidRPr="00016312">
        <w:rPr>
          <w:rFonts w:ascii="楷体_GB2312" w:eastAsia="楷体_GB2312" w:hint="eastAsia"/>
          <w:sz w:val="30"/>
          <w:szCs w:val="30"/>
        </w:rPr>
        <w:t>）最低价中标的由来以及相关的法律问题，认为这里说的最低价</w:t>
      </w:r>
      <w:proofErr w:type="gramStart"/>
      <w:r w:rsidRPr="00016312">
        <w:rPr>
          <w:rFonts w:ascii="楷体_GB2312" w:eastAsia="楷体_GB2312" w:hint="eastAsia"/>
          <w:sz w:val="30"/>
          <w:szCs w:val="30"/>
        </w:rPr>
        <w:t>中标指</w:t>
      </w:r>
      <w:proofErr w:type="gramEnd"/>
      <w:r w:rsidRPr="00016312">
        <w:rPr>
          <w:rFonts w:ascii="楷体_GB2312" w:eastAsia="楷体_GB2312" w:hint="eastAsia"/>
          <w:sz w:val="30"/>
          <w:szCs w:val="30"/>
        </w:rPr>
        <w:t>的是我国法律规定的低于成本的报价，我国目前法律的规定恰恰是禁止低于成本价即最低价中标；（</w:t>
      </w:r>
      <w:r w:rsidRPr="00016312">
        <w:rPr>
          <w:rFonts w:ascii="楷体_GB2312" w:eastAsia="楷体_GB2312" w:hint="eastAsia"/>
          <w:sz w:val="30"/>
          <w:szCs w:val="30"/>
        </w:rPr>
        <w:t>3</w:t>
      </w:r>
      <w:r w:rsidRPr="00016312">
        <w:rPr>
          <w:rFonts w:ascii="楷体_GB2312" w:eastAsia="楷体_GB2312" w:hint="eastAsia"/>
          <w:sz w:val="30"/>
          <w:szCs w:val="30"/>
        </w:rPr>
        <w:t>）政府加强监管，推进立法修改，切实预防最低价中标。</w:t>
      </w:r>
      <w:r w:rsidRPr="00016312">
        <w:rPr>
          <w:rFonts w:ascii="楷体_GB2312" w:eastAsia="楷体_GB2312" w:hint="eastAsia"/>
          <w:sz w:val="30"/>
          <w:szCs w:val="30"/>
        </w:rPr>
        <w:t>《</w:t>
      </w:r>
      <w:r w:rsidRPr="00016312">
        <w:rPr>
          <w:rFonts w:ascii="楷体_GB2312" w:eastAsia="楷体_GB2312" w:hint="eastAsia"/>
          <w:sz w:val="30"/>
          <w:szCs w:val="30"/>
        </w:rPr>
        <w:t>直面最低价中标七大问题</w:t>
      </w:r>
      <w:r w:rsidRPr="00016312">
        <w:rPr>
          <w:rFonts w:ascii="楷体_GB2312" w:eastAsia="楷体_GB2312" w:hint="eastAsia"/>
          <w:sz w:val="30"/>
          <w:szCs w:val="30"/>
        </w:rPr>
        <w:t>》</w:t>
      </w:r>
      <w:r w:rsidRPr="00016312">
        <w:rPr>
          <w:rFonts w:ascii="楷体_GB2312" w:eastAsia="楷体_GB2312" w:hint="eastAsia"/>
          <w:sz w:val="30"/>
          <w:szCs w:val="30"/>
        </w:rPr>
        <w:t>则提出：问题</w:t>
      </w:r>
      <w:proofErr w:type="gramStart"/>
      <w:r w:rsidRPr="00016312">
        <w:rPr>
          <w:rFonts w:ascii="楷体_GB2312" w:eastAsia="楷体_GB2312" w:hint="eastAsia"/>
          <w:sz w:val="30"/>
          <w:szCs w:val="30"/>
        </w:rPr>
        <w:t>一</w:t>
      </w:r>
      <w:proofErr w:type="gramEnd"/>
      <w:r w:rsidRPr="00016312">
        <w:rPr>
          <w:rFonts w:ascii="楷体_GB2312" w:eastAsia="楷体_GB2312" w:hint="eastAsia"/>
          <w:sz w:val="30"/>
          <w:szCs w:val="30"/>
        </w:rPr>
        <w:t>：简单、绝对的最低价中标违反立法宗旨；问题二：低于成本价竞争是违法行为；问题三：法规应该定义什么是“低于成本”；问题四：低成本竞争对行业发展负面影响巨大；问题五：低价中标导致安全质量事故频发；问题六：低价中标导致市场的混乱和市场诚信度；问题七：低价中标导致实际上没有节约投资。</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“最低价中标”的含义</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立法和相关的部门规章没有规定“最低价中标”。</w:t>
      </w:r>
      <w:r w:rsidRPr="00016312">
        <w:rPr>
          <w:rFonts w:ascii="楷体_GB2312" w:eastAsia="楷体_GB2312" w:hint="eastAsia"/>
          <w:sz w:val="30"/>
          <w:szCs w:val="30"/>
        </w:rPr>
        <w:t>《</w:t>
      </w:r>
      <w:r w:rsidRPr="00016312">
        <w:rPr>
          <w:rFonts w:ascii="楷体_GB2312" w:eastAsia="楷体_GB2312" w:hint="eastAsia"/>
          <w:sz w:val="30"/>
          <w:szCs w:val="30"/>
        </w:rPr>
        <w:t>招标投标法</w:t>
      </w:r>
      <w:r w:rsidRPr="00016312">
        <w:rPr>
          <w:rFonts w:ascii="楷体_GB2312" w:eastAsia="楷体_GB2312" w:hint="eastAsia"/>
          <w:sz w:val="30"/>
          <w:szCs w:val="30"/>
        </w:rPr>
        <w:t>》</w:t>
      </w:r>
      <w:r w:rsidRPr="00016312">
        <w:rPr>
          <w:rFonts w:ascii="楷体_GB2312" w:eastAsia="楷体_GB2312" w:hint="eastAsia"/>
          <w:sz w:val="30"/>
          <w:szCs w:val="30"/>
        </w:rPr>
        <w:t>第</w:t>
      </w:r>
      <w:r w:rsidRPr="00016312">
        <w:rPr>
          <w:rFonts w:ascii="楷体_GB2312" w:eastAsia="楷体_GB2312" w:hint="eastAsia"/>
          <w:sz w:val="30"/>
          <w:szCs w:val="30"/>
        </w:rPr>
        <w:t>41</w:t>
      </w:r>
      <w:r w:rsidRPr="00016312">
        <w:rPr>
          <w:rFonts w:ascii="楷体_GB2312" w:eastAsia="楷体_GB2312" w:hint="eastAsia"/>
          <w:sz w:val="30"/>
          <w:szCs w:val="30"/>
        </w:rPr>
        <w:t>条规定：“中标人的投标应当符合下列条件之一：　（</w:t>
      </w:r>
      <w:r w:rsidRPr="00016312">
        <w:rPr>
          <w:rFonts w:ascii="楷体_GB2312" w:eastAsia="楷体_GB2312" w:hint="eastAsia"/>
          <w:sz w:val="30"/>
          <w:szCs w:val="30"/>
        </w:rPr>
        <w:t>1</w:t>
      </w:r>
      <w:r w:rsidRPr="00016312">
        <w:rPr>
          <w:rFonts w:ascii="楷体_GB2312" w:eastAsia="楷体_GB2312" w:hint="eastAsia"/>
          <w:sz w:val="30"/>
          <w:szCs w:val="30"/>
        </w:rPr>
        <w:t>）能够最大限度地满足招标文件中规定的各项综合评价标准；（</w:t>
      </w:r>
      <w:r w:rsidRPr="00016312">
        <w:rPr>
          <w:rFonts w:ascii="楷体_GB2312" w:eastAsia="楷体_GB2312" w:hint="eastAsia"/>
          <w:sz w:val="30"/>
          <w:szCs w:val="30"/>
        </w:rPr>
        <w:t>2</w:t>
      </w:r>
      <w:r w:rsidRPr="00016312">
        <w:rPr>
          <w:rFonts w:ascii="楷体_GB2312" w:eastAsia="楷体_GB2312" w:hint="eastAsia"/>
          <w:sz w:val="30"/>
          <w:szCs w:val="30"/>
        </w:rPr>
        <w:t>）能够满足招标文件的实质性要求，并且经评审的投标价格最低；但是投标价格低于成本的除外。”国家计委、国家经贸委、建设部、铁道部、交通部、信息产业部、水利部联合发布的</w:t>
      </w:r>
      <w:r w:rsidRPr="00016312">
        <w:rPr>
          <w:rFonts w:ascii="楷体_GB2312" w:eastAsia="楷体_GB2312" w:hint="eastAsia"/>
          <w:sz w:val="30"/>
          <w:szCs w:val="30"/>
        </w:rPr>
        <w:t>《</w:t>
      </w:r>
      <w:r w:rsidRPr="00016312">
        <w:rPr>
          <w:rFonts w:ascii="楷体_GB2312" w:eastAsia="楷体_GB2312" w:hint="eastAsia"/>
          <w:sz w:val="30"/>
          <w:szCs w:val="30"/>
        </w:rPr>
        <w:t>评标委员会和评标方法暂行规定</w:t>
      </w:r>
      <w:r w:rsidRPr="00016312">
        <w:rPr>
          <w:rFonts w:ascii="楷体_GB2312" w:eastAsia="楷体_GB2312" w:hint="eastAsia"/>
          <w:sz w:val="30"/>
          <w:szCs w:val="30"/>
        </w:rPr>
        <w:t>》</w:t>
      </w:r>
      <w:r w:rsidRPr="00016312">
        <w:rPr>
          <w:rFonts w:ascii="楷体_GB2312" w:eastAsia="楷体_GB2312" w:hint="eastAsia"/>
          <w:sz w:val="30"/>
          <w:szCs w:val="30"/>
        </w:rPr>
        <w:t>（这是</w:t>
      </w:r>
      <w:r w:rsidRPr="00016312">
        <w:rPr>
          <w:rFonts w:ascii="楷体_GB2312" w:eastAsia="楷体_GB2312" w:hint="eastAsia"/>
          <w:sz w:val="30"/>
          <w:szCs w:val="30"/>
        </w:rPr>
        <w:lastRenderedPageBreak/>
        <w:t>工程招标评标主要的依据）规定的是“经评审的最低投标价法”，建设部发布的</w:t>
      </w:r>
      <w:r w:rsidRPr="00016312">
        <w:rPr>
          <w:rFonts w:ascii="楷体_GB2312" w:eastAsia="楷体_GB2312" w:hint="eastAsia"/>
          <w:sz w:val="30"/>
          <w:szCs w:val="30"/>
        </w:rPr>
        <w:t>《</w:t>
      </w:r>
      <w:r w:rsidRPr="00016312">
        <w:rPr>
          <w:rFonts w:ascii="楷体_GB2312" w:eastAsia="楷体_GB2312" w:hint="eastAsia"/>
          <w:sz w:val="30"/>
          <w:szCs w:val="30"/>
        </w:rPr>
        <w:t>房屋建筑和市政基础设施工程施工招标投标管理办法</w:t>
      </w:r>
      <w:r w:rsidRPr="00016312">
        <w:rPr>
          <w:rFonts w:ascii="楷体_GB2312" w:eastAsia="楷体_GB2312" w:hint="eastAsia"/>
          <w:sz w:val="30"/>
          <w:szCs w:val="30"/>
        </w:rPr>
        <w:t>》</w:t>
      </w:r>
      <w:r w:rsidRPr="00016312">
        <w:rPr>
          <w:rFonts w:ascii="楷体_GB2312" w:eastAsia="楷体_GB2312" w:hint="eastAsia"/>
          <w:sz w:val="30"/>
          <w:szCs w:val="30"/>
        </w:rPr>
        <w:t>也规定的是“经评审的最低投标价法”，商务部规定的</w:t>
      </w:r>
      <w:r w:rsidRPr="00016312">
        <w:rPr>
          <w:rFonts w:ascii="楷体_GB2312" w:eastAsia="楷体_GB2312" w:hint="eastAsia"/>
          <w:sz w:val="30"/>
          <w:szCs w:val="30"/>
        </w:rPr>
        <w:t>《</w:t>
      </w:r>
      <w:r w:rsidRPr="00016312">
        <w:rPr>
          <w:rFonts w:ascii="楷体_GB2312" w:eastAsia="楷体_GB2312" w:hint="eastAsia"/>
          <w:sz w:val="30"/>
          <w:szCs w:val="30"/>
        </w:rPr>
        <w:t>机电产品国际招标项目评标方法</w:t>
      </w:r>
      <w:r w:rsidRPr="00016312">
        <w:rPr>
          <w:rFonts w:ascii="楷体_GB2312" w:eastAsia="楷体_GB2312" w:hint="eastAsia"/>
          <w:sz w:val="30"/>
          <w:szCs w:val="30"/>
        </w:rPr>
        <w:t>》</w:t>
      </w:r>
      <w:r w:rsidRPr="00016312">
        <w:rPr>
          <w:rFonts w:ascii="楷体_GB2312" w:eastAsia="楷体_GB2312" w:hint="eastAsia"/>
          <w:sz w:val="30"/>
          <w:szCs w:val="30"/>
        </w:rPr>
        <w:t>规定的是“最低评标价法”，财政部发布的</w:t>
      </w:r>
      <w:r w:rsidRPr="00016312">
        <w:rPr>
          <w:rFonts w:ascii="楷体_GB2312" w:eastAsia="楷体_GB2312" w:hint="eastAsia"/>
          <w:sz w:val="30"/>
          <w:szCs w:val="30"/>
        </w:rPr>
        <w:t>《</w:t>
      </w:r>
      <w:r w:rsidRPr="00016312">
        <w:rPr>
          <w:rFonts w:ascii="楷体_GB2312" w:eastAsia="楷体_GB2312" w:hint="eastAsia"/>
          <w:sz w:val="30"/>
          <w:szCs w:val="30"/>
        </w:rPr>
        <w:t>政府采购货物和服务招标投标管理办法</w:t>
      </w:r>
      <w:r w:rsidRPr="00016312">
        <w:rPr>
          <w:rFonts w:ascii="楷体_GB2312" w:eastAsia="楷体_GB2312" w:hint="eastAsia"/>
          <w:sz w:val="30"/>
          <w:szCs w:val="30"/>
        </w:rPr>
        <w:t>》</w:t>
      </w:r>
      <w:r w:rsidRPr="00016312">
        <w:rPr>
          <w:rFonts w:ascii="楷体_GB2312" w:eastAsia="楷体_GB2312" w:hint="eastAsia"/>
          <w:sz w:val="30"/>
          <w:szCs w:val="30"/>
        </w:rPr>
        <w:t>规定的也是“最低评标价法”。如果把“最低价中标”理解为“最低价中标指的是我国法律规定的低于成本的报价”，确实是违反法律的，没有哪个规定，认为招标应当采取这一评标方法，我也不相信有哪个招标人会规定这样的招标方法，如果有，也是如何打击的问题，不需要从制度上去“废止”，因为从来就没有这样的制度。因此，我只能理解上述几篇文章说的“最低价中标”指的是“经评审的最低投标价法”和“最低评标价法”。也只有这样的评标方法才是国际惯例。</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其次，关于投标人的成本问题</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以我参加相关的立法和讨论的经历，我不认为国家和有关部门不</w:t>
      </w:r>
      <w:r w:rsidRPr="00016312">
        <w:rPr>
          <w:rFonts w:ascii="楷体_GB2312" w:eastAsia="楷体_GB2312" w:hint="eastAsia"/>
          <w:sz w:val="30"/>
          <w:szCs w:val="30"/>
        </w:rPr>
        <w:t>想规定成本，而是没有界定成本的有效方法。需要说明的是，朱律师在演讲中说的“在法律已作合理低价中标强制性规定的同时，法律没有规定什么是低于成本的报价？什么是成本？低于成本的报价到底是指低于企业的成本，还是低于行业的平均成本的报价？”不符合实际情况，</w:t>
      </w:r>
      <w:r w:rsidRPr="00016312">
        <w:rPr>
          <w:rFonts w:ascii="楷体_GB2312" w:eastAsia="楷体_GB2312" w:hint="eastAsia"/>
          <w:sz w:val="30"/>
          <w:szCs w:val="30"/>
        </w:rPr>
        <w:t>《</w:t>
      </w:r>
      <w:r w:rsidRPr="00016312">
        <w:rPr>
          <w:rFonts w:ascii="楷体_GB2312" w:eastAsia="楷体_GB2312" w:hint="eastAsia"/>
          <w:sz w:val="30"/>
          <w:szCs w:val="30"/>
        </w:rPr>
        <w:t>评标委员会和评标方法暂行规定</w:t>
      </w:r>
      <w:r w:rsidRPr="00016312">
        <w:rPr>
          <w:rFonts w:ascii="楷体_GB2312" w:eastAsia="楷体_GB2312" w:hint="eastAsia"/>
          <w:sz w:val="30"/>
          <w:szCs w:val="30"/>
        </w:rPr>
        <w:t>》</w:t>
      </w:r>
      <w:r w:rsidRPr="00016312">
        <w:rPr>
          <w:rFonts w:ascii="楷体_GB2312" w:eastAsia="楷体_GB2312" w:hint="eastAsia"/>
          <w:sz w:val="30"/>
          <w:szCs w:val="30"/>
        </w:rPr>
        <w:t>已经规定，成本是指企业个别成本。</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这样规定合理</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这样的规定是合理的，如果是行业的平均成本，对于市场经济而言是</w:t>
      </w:r>
      <w:r w:rsidRPr="00016312">
        <w:rPr>
          <w:rFonts w:ascii="楷体_GB2312" w:eastAsia="楷体_GB2312" w:hint="eastAsia"/>
          <w:sz w:val="30"/>
          <w:szCs w:val="30"/>
        </w:rPr>
        <w:lastRenderedPageBreak/>
        <w:t>不可思议的。因为，在市场经济条件下，先进的企业，正是通过其率先采用先进的技术和严格的管理，使自己的成本低于行业的平均成本，不断降低商品价格，来获取较高的市场占有率，进而淘汰落后的企业。也正因为有这样的市场机制，才能使我们使用的手机，在短短的十年间，从几万快钱降到几百快钱。一旦明确投标人的成本是个别成本，带来的巨大问题是，政府部门或者招标人规定一个价格底线，认定低于这个价格就是低于成本，显然就不合理了。因为恰恰是率先采用先进的技术和严格的管理的企业（</w:t>
      </w:r>
      <w:r w:rsidRPr="00016312">
        <w:rPr>
          <w:rFonts w:ascii="楷体_GB2312" w:eastAsia="楷体_GB2312" w:hint="eastAsia"/>
          <w:sz w:val="30"/>
          <w:szCs w:val="30"/>
        </w:rPr>
        <w:t>这是市场应当鼓励的企业），其成本可能是低于这个底线的。所以，现在的问题，是能否提出一个界定成本的有效方法。</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第三，如何看待“经评审的最低投标价法”和“最低评标价法”招标下的恶性价格竞争</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首先，如果工程质量和工期能够得到保障，低价一定是招标人愿意订立的价格。当然，低于成本违法，这是毫无疑问的。但审查成本不是招标人的义务，而是权利。为什么不是义务，我们可以有个非常简单的例子，消费者去购买商品时是否有评估成本的义务？答案当然是否定的。</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如何处理</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我也不认为低于成本报价的投标人可以成为主张提高合同价格的原告，因为依照</w:t>
      </w:r>
      <w:r w:rsidRPr="00016312">
        <w:rPr>
          <w:rFonts w:ascii="楷体_GB2312" w:eastAsia="楷体_GB2312" w:hint="eastAsia"/>
          <w:sz w:val="30"/>
          <w:szCs w:val="30"/>
        </w:rPr>
        <w:t>《</w:t>
      </w:r>
      <w:r w:rsidRPr="00016312">
        <w:rPr>
          <w:rFonts w:ascii="楷体_GB2312" w:eastAsia="楷体_GB2312" w:hint="eastAsia"/>
          <w:sz w:val="30"/>
          <w:szCs w:val="30"/>
        </w:rPr>
        <w:t>反不正当竞争法</w:t>
      </w:r>
      <w:r w:rsidRPr="00016312">
        <w:rPr>
          <w:rFonts w:ascii="楷体_GB2312" w:eastAsia="楷体_GB2312" w:hint="eastAsia"/>
          <w:sz w:val="30"/>
          <w:szCs w:val="30"/>
        </w:rPr>
        <w:t>》</w:t>
      </w:r>
      <w:r w:rsidRPr="00016312">
        <w:rPr>
          <w:rFonts w:ascii="楷体_GB2312" w:eastAsia="楷体_GB2312" w:hint="eastAsia"/>
          <w:sz w:val="30"/>
          <w:szCs w:val="30"/>
        </w:rPr>
        <w:t>的理论</w:t>
      </w:r>
      <w:r w:rsidRPr="00016312">
        <w:rPr>
          <w:rFonts w:ascii="楷体_GB2312" w:eastAsia="楷体_GB2312" w:hint="eastAsia"/>
          <w:sz w:val="30"/>
          <w:szCs w:val="30"/>
        </w:rPr>
        <w:t>,</w:t>
      </w:r>
      <w:r w:rsidRPr="00016312">
        <w:rPr>
          <w:rFonts w:ascii="楷体_GB2312" w:eastAsia="楷体_GB2312" w:hint="eastAsia"/>
          <w:sz w:val="30"/>
          <w:szCs w:val="30"/>
        </w:rPr>
        <w:t>低于成本的报价</w:t>
      </w:r>
      <w:r w:rsidRPr="00016312">
        <w:rPr>
          <w:rFonts w:ascii="楷体_GB2312" w:eastAsia="楷体_GB2312" w:hint="eastAsia"/>
          <w:sz w:val="30"/>
          <w:szCs w:val="30"/>
        </w:rPr>
        <w:t>,</w:t>
      </w:r>
      <w:r w:rsidRPr="00016312">
        <w:rPr>
          <w:rFonts w:ascii="楷体_GB2312" w:eastAsia="楷体_GB2312" w:hint="eastAsia"/>
          <w:sz w:val="30"/>
          <w:szCs w:val="30"/>
        </w:rPr>
        <w:t>报价者是这一不正当行为的获益方</w:t>
      </w:r>
      <w:r w:rsidRPr="00016312">
        <w:rPr>
          <w:rFonts w:ascii="楷体_GB2312" w:eastAsia="楷体_GB2312" w:hint="eastAsia"/>
          <w:sz w:val="30"/>
          <w:szCs w:val="30"/>
        </w:rPr>
        <w:t xml:space="preserve">, </w:t>
      </w:r>
      <w:r w:rsidRPr="00016312">
        <w:rPr>
          <w:rFonts w:ascii="楷体_GB2312" w:eastAsia="楷体_GB2312" w:hint="eastAsia"/>
          <w:sz w:val="30"/>
          <w:szCs w:val="30"/>
        </w:rPr>
        <w:t>而</w:t>
      </w:r>
      <w:r w:rsidRPr="00016312">
        <w:rPr>
          <w:rFonts w:ascii="楷体_GB2312" w:eastAsia="楷体_GB2312" w:hint="eastAsia"/>
          <w:sz w:val="30"/>
          <w:szCs w:val="30"/>
        </w:rPr>
        <w:t>《</w:t>
      </w:r>
      <w:r w:rsidRPr="00016312">
        <w:rPr>
          <w:rFonts w:ascii="楷体_GB2312" w:eastAsia="楷体_GB2312" w:hint="eastAsia"/>
          <w:sz w:val="30"/>
          <w:szCs w:val="30"/>
        </w:rPr>
        <w:t>民事诉讼法</w:t>
      </w:r>
      <w:r w:rsidRPr="00016312">
        <w:rPr>
          <w:rFonts w:ascii="楷体_GB2312" w:eastAsia="楷体_GB2312" w:hint="eastAsia"/>
          <w:sz w:val="30"/>
          <w:szCs w:val="30"/>
        </w:rPr>
        <w:t>》</w:t>
      </w:r>
      <w:r w:rsidRPr="00016312">
        <w:rPr>
          <w:rFonts w:ascii="楷体_GB2312" w:eastAsia="楷体_GB2312" w:hint="eastAsia"/>
          <w:sz w:val="30"/>
          <w:szCs w:val="30"/>
        </w:rPr>
        <w:t>的基本原则是获益方</w:t>
      </w:r>
      <w:r w:rsidRPr="00016312">
        <w:rPr>
          <w:rFonts w:ascii="楷体_GB2312" w:eastAsia="楷体_GB2312" w:hint="eastAsia"/>
          <w:sz w:val="30"/>
          <w:szCs w:val="30"/>
        </w:rPr>
        <w:t>,</w:t>
      </w:r>
      <w:r w:rsidRPr="00016312">
        <w:rPr>
          <w:rFonts w:ascii="楷体_GB2312" w:eastAsia="楷体_GB2312" w:hint="eastAsia"/>
          <w:sz w:val="30"/>
          <w:szCs w:val="30"/>
        </w:rPr>
        <w:t>尤其是不法获益方不应当成为民事诉讼的原告</w:t>
      </w:r>
      <w:r w:rsidRPr="00016312">
        <w:rPr>
          <w:rFonts w:ascii="楷体_GB2312" w:eastAsia="楷体_GB2312" w:hint="eastAsia"/>
          <w:sz w:val="30"/>
          <w:szCs w:val="30"/>
        </w:rPr>
        <w:t>。但是</w:t>
      </w:r>
      <w:r w:rsidRPr="00016312">
        <w:rPr>
          <w:rFonts w:ascii="楷体_GB2312" w:eastAsia="楷体_GB2312" w:hint="eastAsia"/>
          <w:sz w:val="30"/>
          <w:szCs w:val="30"/>
        </w:rPr>
        <w:t>，我也承认，“经评审的</w:t>
      </w:r>
      <w:r w:rsidRPr="00016312">
        <w:rPr>
          <w:rFonts w:ascii="楷体_GB2312" w:eastAsia="楷体_GB2312" w:hint="eastAsia"/>
          <w:sz w:val="30"/>
          <w:szCs w:val="30"/>
        </w:rPr>
        <w:lastRenderedPageBreak/>
        <w:t>最低投标价法”和“最低评标价法”招标下的恶性价格竞争，在实践中带来了诸多问题。这些问题，归根到底是由于投标人的</w:t>
      </w:r>
      <w:proofErr w:type="gramStart"/>
      <w:r w:rsidRPr="00016312">
        <w:rPr>
          <w:rFonts w:ascii="楷体_GB2312" w:eastAsia="楷体_GB2312" w:hint="eastAsia"/>
          <w:sz w:val="30"/>
          <w:szCs w:val="30"/>
        </w:rPr>
        <w:t>不</w:t>
      </w:r>
      <w:proofErr w:type="gramEnd"/>
      <w:r w:rsidRPr="00016312">
        <w:rPr>
          <w:rFonts w:ascii="楷体_GB2312" w:eastAsia="楷体_GB2312" w:hint="eastAsia"/>
          <w:sz w:val="30"/>
          <w:szCs w:val="30"/>
        </w:rPr>
        <w:t>诚信引起的，因为投标人在</w:t>
      </w:r>
      <w:proofErr w:type="gramStart"/>
      <w:r w:rsidRPr="00016312">
        <w:rPr>
          <w:rFonts w:ascii="楷体_GB2312" w:eastAsia="楷体_GB2312" w:hint="eastAsia"/>
          <w:sz w:val="30"/>
          <w:szCs w:val="30"/>
        </w:rPr>
        <w:t>报低</w:t>
      </w:r>
      <w:proofErr w:type="gramEnd"/>
      <w:r w:rsidRPr="00016312">
        <w:rPr>
          <w:rFonts w:ascii="楷体_GB2312" w:eastAsia="楷体_GB2312" w:hint="eastAsia"/>
          <w:sz w:val="30"/>
          <w:szCs w:val="30"/>
        </w:rPr>
        <w:t>价的同时，是承诺按照要求履行合同的。而我国现有法律体制对这种</w:t>
      </w:r>
      <w:proofErr w:type="gramStart"/>
      <w:r w:rsidRPr="00016312">
        <w:rPr>
          <w:rFonts w:ascii="楷体_GB2312" w:eastAsia="楷体_GB2312" w:hint="eastAsia"/>
          <w:sz w:val="30"/>
          <w:szCs w:val="30"/>
        </w:rPr>
        <w:t>不</w:t>
      </w:r>
      <w:proofErr w:type="gramEnd"/>
      <w:r w:rsidRPr="00016312">
        <w:rPr>
          <w:rFonts w:ascii="楷体_GB2312" w:eastAsia="楷体_GB2312" w:hint="eastAsia"/>
          <w:sz w:val="30"/>
          <w:szCs w:val="30"/>
        </w:rPr>
        <w:t>诚信缺乏有效的制约机制。</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十三、得以不合理的条件限制、排斥潜在投标人或者投标人</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第三十二条</w:t>
      </w:r>
      <w:r w:rsidRPr="00016312">
        <w:rPr>
          <w:rFonts w:ascii="楷体_GB2312" w:eastAsia="楷体_GB2312" w:hint="eastAsia"/>
          <w:sz w:val="30"/>
          <w:szCs w:val="30"/>
        </w:rPr>
        <w:t xml:space="preserve">　招标人不得以不合理的条件限制、排斥潜在投标人或者投标人。</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招标人有下列行为之一的，属于以不合理条件限制、排斥潜在投标人或者投标人：</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（一）就同一招标项目向潜在投标人或者投标人提供有差别的项目信息；</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（二）设定的资格、技术、商务条件与招标项目的具体特点和实际需要不相适应或者与合同履行无关；</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（三）依法必须进行招标的项目以特定行政区域或者特定行业的业绩、奖项作为加分条件或者中标条件；</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（四）对潜在投标人或者投标人采取不同的资格审查或者评标标准；</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（五）限定或者指定特定的专利、商标、品牌、原产地或者供应商；</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（六）依法必须进行招标的项目非法限定潜在投标人或者投标人的所有制形式或者组织形式；</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（七）以其他不合理条件限制、排斥潜在投标人或者投标人。</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十四、提交的投标文件</w:t>
      </w:r>
    </w:p>
    <w:p w:rsidR="00000000" w:rsidRPr="00016312" w:rsidRDefault="00016312" w:rsidP="00016312">
      <w:pPr>
        <w:ind w:left="720"/>
        <w:rPr>
          <w:rFonts w:ascii="楷体_GB2312" w:eastAsia="楷体_GB2312" w:hint="eastAsia"/>
          <w:sz w:val="30"/>
          <w:szCs w:val="30"/>
        </w:rPr>
      </w:pPr>
      <w:r w:rsidRPr="00016312">
        <w:rPr>
          <w:rFonts w:eastAsia="楷体_GB2312" w:hint="eastAsia"/>
          <w:sz w:val="30"/>
          <w:szCs w:val="30"/>
        </w:rPr>
        <w:t> </w:t>
      </w:r>
      <w:r w:rsidRPr="00016312">
        <w:rPr>
          <w:rFonts w:ascii="楷体_GB2312" w:eastAsia="楷体_GB2312" w:hint="eastAsia"/>
          <w:b/>
          <w:bCs/>
          <w:sz w:val="30"/>
          <w:szCs w:val="30"/>
        </w:rPr>
        <w:t>第三十六条</w:t>
      </w:r>
      <w:r w:rsidRPr="00016312">
        <w:rPr>
          <w:rFonts w:ascii="楷体_GB2312" w:eastAsia="楷体_GB2312" w:hint="eastAsia"/>
          <w:sz w:val="30"/>
          <w:szCs w:val="30"/>
        </w:rPr>
        <w:t xml:space="preserve">　未通过资格预审的申请人提交的投标文件，以及逾期送</w:t>
      </w:r>
      <w:r w:rsidRPr="00016312">
        <w:rPr>
          <w:rFonts w:ascii="楷体_GB2312" w:eastAsia="楷体_GB2312" w:hint="eastAsia"/>
          <w:sz w:val="30"/>
          <w:szCs w:val="30"/>
        </w:rPr>
        <w:lastRenderedPageBreak/>
        <w:t>达或者不按照招标文件要求密封的投标文件，招标人应当拒收。</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招标人应当如实记载投标文件的送达时间和密封情况，并存档备查。</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十五、串通投标</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第三十九条</w:t>
      </w:r>
      <w:r w:rsidRPr="00016312">
        <w:rPr>
          <w:rFonts w:ascii="楷体_GB2312" w:eastAsia="楷体_GB2312" w:hint="eastAsia"/>
          <w:sz w:val="30"/>
          <w:szCs w:val="30"/>
        </w:rPr>
        <w:t xml:space="preserve">　禁止投标人相互串通投标。</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有下列情形之一的，属于投标人相互串通投标：</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（一）投标人之间协商投标报价等投标文件的实质性内容；</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（二）投标人之间约定中标人；</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（三）投标人之间约定部分投标人放弃投标或者中标；</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（四）属于同一集团、协会、商会等组织成员的投标人按照该组织要求协同投标；</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（五）投标人之间为谋取中标或者排斥特定投标人而采取的其他联合行动。</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第四十条</w:t>
      </w:r>
      <w:r w:rsidRPr="00016312">
        <w:rPr>
          <w:rFonts w:ascii="楷体_GB2312" w:eastAsia="楷体_GB2312" w:hint="eastAsia"/>
          <w:sz w:val="30"/>
          <w:szCs w:val="30"/>
        </w:rPr>
        <w:t xml:space="preserve">　有下列情形之一的，视为投标人相互串通投标：</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（一）不同投标人的投标文件由同一单位或者个人编制；</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（二）不同投标人委托同一单位或者个人办理投标事宜；</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（三）不同投标人的投标文件载明的项目管理成员为同一人；</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（四）不同投标人的投标文件异常一致或者投标报价呈规律性差异；</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（五）不同投标人的投标文件相互混装；</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（六）不同投标人的投标保证金从同一单位或者个人的账户转出。</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第四十一条</w:t>
      </w:r>
      <w:r w:rsidRPr="00016312">
        <w:rPr>
          <w:rFonts w:ascii="楷体_GB2312" w:eastAsia="楷体_GB2312" w:hint="eastAsia"/>
          <w:sz w:val="30"/>
          <w:szCs w:val="30"/>
        </w:rPr>
        <w:t xml:space="preserve">　禁止招标人与投标人串通投标。</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有下列情形之一的，属于招标人与投标人串通投标：</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（一）招标人在开标前开启投标文件并将有关信息泄露给其他投标</w:t>
      </w:r>
      <w:r w:rsidRPr="00016312">
        <w:rPr>
          <w:rFonts w:ascii="楷体_GB2312" w:eastAsia="楷体_GB2312" w:hint="eastAsia"/>
          <w:sz w:val="30"/>
          <w:szCs w:val="30"/>
        </w:rPr>
        <w:lastRenderedPageBreak/>
        <w:t>人</w:t>
      </w:r>
      <w:r w:rsidRPr="00016312">
        <w:rPr>
          <w:rFonts w:ascii="楷体_GB2312" w:eastAsia="楷体_GB2312" w:hint="eastAsia"/>
          <w:sz w:val="30"/>
          <w:szCs w:val="30"/>
        </w:rPr>
        <w:t>;</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（二）招标人直接或者间接向投标人泄露标底、评标委员会成员等信息；</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（三）招标人明示或者暗示投标人压低或者抬高投标报价；</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（四）招标人授意投标人撤换、修改投标文件；</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（五）招标人明示或者暗示投标人为特定投标人中标提供方便；</w:t>
      </w:r>
      <w:r w:rsidRPr="00016312">
        <w:rPr>
          <w:rFonts w:ascii="楷体_GB2312" w:eastAsia="楷体_GB2312" w:hint="eastAsia"/>
          <w:sz w:val="30"/>
          <w:szCs w:val="30"/>
        </w:rPr>
        <w:br/>
      </w:r>
      <w:r w:rsidRPr="00016312">
        <w:rPr>
          <w:rFonts w:eastAsia="楷体_GB2312" w:hint="eastAsia"/>
          <w:sz w:val="30"/>
          <w:szCs w:val="30"/>
        </w:rPr>
        <w:t>    </w:t>
      </w:r>
      <w:r w:rsidRPr="00016312">
        <w:rPr>
          <w:rFonts w:ascii="楷体_GB2312" w:eastAsia="楷体_GB2312" w:hint="eastAsia"/>
          <w:sz w:val="30"/>
          <w:szCs w:val="30"/>
        </w:rPr>
        <w:t>（六）招标人与投标人为谋求特定投标人中标而采取的其他串通行为。</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十六、履约保证金</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b/>
          <w:bCs/>
          <w:sz w:val="30"/>
          <w:szCs w:val="30"/>
        </w:rPr>
        <w:t>第五十八条</w:t>
      </w:r>
      <w:r w:rsidRPr="00016312">
        <w:rPr>
          <w:rFonts w:ascii="楷体_GB2312" w:eastAsia="楷体_GB2312" w:hint="eastAsia"/>
          <w:sz w:val="30"/>
          <w:szCs w:val="30"/>
        </w:rPr>
        <w:t xml:space="preserve">　招标文件要求中标人提交履约保证金的，中标人应当按照招标文件的要求提交。履约保证金不得超过中标合同金额的</w:t>
      </w:r>
      <w:r w:rsidRPr="00016312">
        <w:rPr>
          <w:rFonts w:ascii="楷体_GB2312" w:eastAsia="楷体_GB2312" w:hint="eastAsia"/>
          <w:sz w:val="30"/>
          <w:szCs w:val="30"/>
        </w:rPr>
        <w:t>10%</w:t>
      </w:r>
      <w:r w:rsidRPr="00016312">
        <w:rPr>
          <w:rFonts w:ascii="楷体_GB2312" w:eastAsia="楷体_GB2312" w:hint="eastAsia"/>
          <w:sz w:val="30"/>
          <w:szCs w:val="30"/>
        </w:rPr>
        <w:t>。</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w:t>
      </w:r>
      <w:r w:rsidRPr="00016312">
        <w:rPr>
          <w:rFonts w:ascii="楷体_GB2312" w:eastAsia="楷体_GB2312" w:hint="eastAsia"/>
          <w:sz w:val="30"/>
          <w:szCs w:val="30"/>
        </w:rPr>
        <w:t>招标投标法实施条例</w:t>
      </w:r>
      <w:r w:rsidRPr="00016312">
        <w:rPr>
          <w:rFonts w:ascii="楷体_GB2312" w:eastAsia="楷体_GB2312" w:hint="eastAsia"/>
          <w:sz w:val="30"/>
          <w:szCs w:val="30"/>
        </w:rPr>
        <w:t>》</w:t>
      </w:r>
      <w:r w:rsidRPr="00016312">
        <w:rPr>
          <w:rFonts w:ascii="楷体_GB2312" w:eastAsia="楷体_GB2312" w:hint="eastAsia"/>
          <w:sz w:val="30"/>
          <w:szCs w:val="30"/>
        </w:rPr>
        <w:t>第</w:t>
      </w:r>
      <w:r w:rsidRPr="00016312">
        <w:rPr>
          <w:rFonts w:ascii="楷体_GB2312" w:eastAsia="楷体_GB2312" w:hint="eastAsia"/>
          <w:sz w:val="30"/>
          <w:szCs w:val="30"/>
        </w:rPr>
        <w:t>74</w:t>
      </w:r>
      <w:r w:rsidRPr="00016312">
        <w:rPr>
          <w:rFonts w:ascii="楷体_GB2312" w:eastAsia="楷体_GB2312" w:hint="eastAsia"/>
          <w:sz w:val="30"/>
          <w:szCs w:val="30"/>
        </w:rPr>
        <w:t>条规定，中标人不按照招标文件要求提交履约保证金的，取消其中标资格，投标保证金不予退还。对依法必须进行招标的项目的中标人，由有关行政监督部门责令改正，可以处中标项目金额</w:t>
      </w:r>
      <w:r w:rsidRPr="00016312">
        <w:rPr>
          <w:rFonts w:ascii="楷体_GB2312" w:eastAsia="楷体_GB2312" w:hint="eastAsia"/>
          <w:sz w:val="30"/>
          <w:szCs w:val="30"/>
        </w:rPr>
        <w:t>10</w:t>
      </w:r>
      <w:r w:rsidRPr="00016312">
        <w:rPr>
          <w:rFonts w:ascii="楷体_GB2312" w:eastAsia="楷体_GB2312" w:hint="eastAsia"/>
          <w:sz w:val="30"/>
          <w:szCs w:val="30"/>
        </w:rPr>
        <w:t>‰</w:t>
      </w:r>
      <w:r w:rsidRPr="00016312">
        <w:rPr>
          <w:rFonts w:ascii="楷体_GB2312" w:eastAsia="楷体_GB2312" w:hint="eastAsia"/>
          <w:sz w:val="30"/>
          <w:szCs w:val="30"/>
        </w:rPr>
        <w:t>以下的罚款。</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十七、异议</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在招标投标活动中有权提出异议的是投标人、潜在投标人或者其他利害关系人。被异议人是招标人。</w:t>
      </w:r>
      <w:r w:rsidRPr="00016312">
        <w:rPr>
          <w:rFonts w:ascii="楷体_GB2312" w:eastAsia="楷体_GB2312" w:hint="eastAsia"/>
          <w:sz w:val="30"/>
          <w:szCs w:val="30"/>
        </w:rPr>
        <w:t xml:space="preserve"> </w:t>
      </w:r>
    </w:p>
    <w:p w:rsidR="00000000" w:rsidRPr="00016312" w:rsidRDefault="00016312" w:rsidP="00016312">
      <w:pPr>
        <w:ind w:left="720"/>
        <w:rPr>
          <w:rFonts w:ascii="楷体_GB2312" w:eastAsia="楷体_GB2312" w:hint="eastAsia"/>
          <w:sz w:val="30"/>
          <w:szCs w:val="30"/>
        </w:rPr>
      </w:pPr>
      <w:r w:rsidRPr="00016312">
        <w:rPr>
          <w:rFonts w:ascii="楷体_GB2312" w:eastAsia="楷体_GB2312" w:hint="eastAsia"/>
          <w:sz w:val="30"/>
          <w:szCs w:val="30"/>
        </w:rPr>
        <w:t>可以进行招标投标异议的内容主要包括三个方面：资格预审文件、开标、评标结果。</w:t>
      </w:r>
      <w:r w:rsidRPr="00016312">
        <w:rPr>
          <w:rFonts w:ascii="楷体_GB2312" w:eastAsia="楷体_GB2312" w:hint="eastAsia"/>
          <w:sz w:val="30"/>
          <w:szCs w:val="30"/>
        </w:rPr>
        <w:t xml:space="preserve"> </w:t>
      </w:r>
    </w:p>
    <w:p w:rsidR="00A14122" w:rsidRPr="00016312" w:rsidRDefault="00A14122">
      <w:pPr>
        <w:rPr>
          <w:rFonts w:ascii="楷体_GB2312" w:eastAsia="楷体_GB2312" w:hint="eastAsia"/>
          <w:sz w:val="30"/>
          <w:szCs w:val="30"/>
        </w:rPr>
      </w:pPr>
    </w:p>
    <w:sectPr w:rsidR="00A14122" w:rsidRPr="00016312" w:rsidSect="00016312">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54B7F"/>
    <w:multiLevelType w:val="hybridMultilevel"/>
    <w:tmpl w:val="E30E4FFA"/>
    <w:lvl w:ilvl="0" w:tplc="8E2E2664">
      <w:start w:val="1"/>
      <w:numFmt w:val="bullet"/>
      <w:lvlText w:val=""/>
      <w:lvlJc w:val="left"/>
      <w:pPr>
        <w:tabs>
          <w:tab w:val="num" w:pos="720"/>
        </w:tabs>
        <w:ind w:left="720" w:hanging="360"/>
      </w:pPr>
      <w:rPr>
        <w:rFonts w:ascii="Wingdings" w:hAnsi="Wingdings" w:hint="default"/>
      </w:rPr>
    </w:lvl>
    <w:lvl w:ilvl="1" w:tplc="419A3700" w:tentative="1">
      <w:start w:val="1"/>
      <w:numFmt w:val="bullet"/>
      <w:lvlText w:val=""/>
      <w:lvlJc w:val="left"/>
      <w:pPr>
        <w:tabs>
          <w:tab w:val="num" w:pos="1440"/>
        </w:tabs>
        <w:ind w:left="1440" w:hanging="360"/>
      </w:pPr>
      <w:rPr>
        <w:rFonts w:ascii="Wingdings" w:hAnsi="Wingdings" w:hint="default"/>
      </w:rPr>
    </w:lvl>
    <w:lvl w:ilvl="2" w:tplc="6F56CC5E" w:tentative="1">
      <w:start w:val="1"/>
      <w:numFmt w:val="bullet"/>
      <w:lvlText w:val=""/>
      <w:lvlJc w:val="left"/>
      <w:pPr>
        <w:tabs>
          <w:tab w:val="num" w:pos="2160"/>
        </w:tabs>
        <w:ind w:left="2160" w:hanging="360"/>
      </w:pPr>
      <w:rPr>
        <w:rFonts w:ascii="Wingdings" w:hAnsi="Wingdings" w:hint="default"/>
      </w:rPr>
    </w:lvl>
    <w:lvl w:ilvl="3" w:tplc="C250FA22" w:tentative="1">
      <w:start w:val="1"/>
      <w:numFmt w:val="bullet"/>
      <w:lvlText w:val=""/>
      <w:lvlJc w:val="left"/>
      <w:pPr>
        <w:tabs>
          <w:tab w:val="num" w:pos="2880"/>
        </w:tabs>
        <w:ind w:left="2880" w:hanging="360"/>
      </w:pPr>
      <w:rPr>
        <w:rFonts w:ascii="Wingdings" w:hAnsi="Wingdings" w:hint="default"/>
      </w:rPr>
    </w:lvl>
    <w:lvl w:ilvl="4" w:tplc="8894234A" w:tentative="1">
      <w:start w:val="1"/>
      <w:numFmt w:val="bullet"/>
      <w:lvlText w:val=""/>
      <w:lvlJc w:val="left"/>
      <w:pPr>
        <w:tabs>
          <w:tab w:val="num" w:pos="3600"/>
        </w:tabs>
        <w:ind w:left="3600" w:hanging="360"/>
      </w:pPr>
      <w:rPr>
        <w:rFonts w:ascii="Wingdings" w:hAnsi="Wingdings" w:hint="default"/>
      </w:rPr>
    </w:lvl>
    <w:lvl w:ilvl="5" w:tplc="56E87A58" w:tentative="1">
      <w:start w:val="1"/>
      <w:numFmt w:val="bullet"/>
      <w:lvlText w:val=""/>
      <w:lvlJc w:val="left"/>
      <w:pPr>
        <w:tabs>
          <w:tab w:val="num" w:pos="4320"/>
        </w:tabs>
        <w:ind w:left="4320" w:hanging="360"/>
      </w:pPr>
      <w:rPr>
        <w:rFonts w:ascii="Wingdings" w:hAnsi="Wingdings" w:hint="default"/>
      </w:rPr>
    </w:lvl>
    <w:lvl w:ilvl="6" w:tplc="07D4D212" w:tentative="1">
      <w:start w:val="1"/>
      <w:numFmt w:val="bullet"/>
      <w:lvlText w:val=""/>
      <w:lvlJc w:val="left"/>
      <w:pPr>
        <w:tabs>
          <w:tab w:val="num" w:pos="5040"/>
        </w:tabs>
        <w:ind w:left="5040" w:hanging="360"/>
      </w:pPr>
      <w:rPr>
        <w:rFonts w:ascii="Wingdings" w:hAnsi="Wingdings" w:hint="default"/>
      </w:rPr>
    </w:lvl>
    <w:lvl w:ilvl="7" w:tplc="ACD86F7E" w:tentative="1">
      <w:start w:val="1"/>
      <w:numFmt w:val="bullet"/>
      <w:lvlText w:val=""/>
      <w:lvlJc w:val="left"/>
      <w:pPr>
        <w:tabs>
          <w:tab w:val="num" w:pos="5760"/>
        </w:tabs>
        <w:ind w:left="5760" w:hanging="360"/>
      </w:pPr>
      <w:rPr>
        <w:rFonts w:ascii="Wingdings" w:hAnsi="Wingdings" w:hint="default"/>
      </w:rPr>
    </w:lvl>
    <w:lvl w:ilvl="8" w:tplc="97A88BC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16312"/>
    <w:rsid w:val="00016312"/>
    <w:rsid w:val="00A141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12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6272610">
      <w:bodyDiv w:val="1"/>
      <w:marLeft w:val="0"/>
      <w:marRight w:val="0"/>
      <w:marTop w:val="0"/>
      <w:marBottom w:val="0"/>
      <w:divBdr>
        <w:top w:val="none" w:sz="0" w:space="0" w:color="auto"/>
        <w:left w:val="none" w:sz="0" w:space="0" w:color="auto"/>
        <w:bottom w:val="none" w:sz="0" w:space="0" w:color="auto"/>
        <w:right w:val="none" w:sz="0" w:space="0" w:color="auto"/>
      </w:divBdr>
      <w:divsChild>
        <w:div w:id="813332081">
          <w:marLeft w:val="547"/>
          <w:marRight w:val="0"/>
          <w:marTop w:val="154"/>
          <w:marBottom w:val="0"/>
          <w:divBdr>
            <w:top w:val="none" w:sz="0" w:space="0" w:color="auto"/>
            <w:left w:val="none" w:sz="0" w:space="0" w:color="auto"/>
            <w:bottom w:val="none" w:sz="0" w:space="0" w:color="auto"/>
            <w:right w:val="none" w:sz="0" w:space="0" w:color="auto"/>
          </w:divBdr>
        </w:div>
        <w:div w:id="2071730386">
          <w:marLeft w:val="547"/>
          <w:marRight w:val="0"/>
          <w:marTop w:val="211"/>
          <w:marBottom w:val="0"/>
          <w:divBdr>
            <w:top w:val="none" w:sz="0" w:space="0" w:color="auto"/>
            <w:left w:val="none" w:sz="0" w:space="0" w:color="auto"/>
            <w:bottom w:val="none" w:sz="0" w:space="0" w:color="auto"/>
            <w:right w:val="none" w:sz="0" w:space="0" w:color="auto"/>
          </w:divBdr>
        </w:div>
        <w:div w:id="1265306683">
          <w:marLeft w:val="547"/>
          <w:marRight w:val="0"/>
          <w:marTop w:val="192"/>
          <w:marBottom w:val="0"/>
          <w:divBdr>
            <w:top w:val="none" w:sz="0" w:space="0" w:color="auto"/>
            <w:left w:val="none" w:sz="0" w:space="0" w:color="auto"/>
            <w:bottom w:val="none" w:sz="0" w:space="0" w:color="auto"/>
            <w:right w:val="none" w:sz="0" w:space="0" w:color="auto"/>
          </w:divBdr>
        </w:div>
        <w:div w:id="824054629">
          <w:marLeft w:val="547"/>
          <w:marRight w:val="0"/>
          <w:marTop w:val="154"/>
          <w:marBottom w:val="0"/>
          <w:divBdr>
            <w:top w:val="none" w:sz="0" w:space="0" w:color="auto"/>
            <w:left w:val="none" w:sz="0" w:space="0" w:color="auto"/>
            <w:bottom w:val="none" w:sz="0" w:space="0" w:color="auto"/>
            <w:right w:val="none" w:sz="0" w:space="0" w:color="auto"/>
          </w:divBdr>
        </w:div>
        <w:div w:id="227767448">
          <w:marLeft w:val="547"/>
          <w:marRight w:val="0"/>
          <w:marTop w:val="154"/>
          <w:marBottom w:val="0"/>
          <w:divBdr>
            <w:top w:val="none" w:sz="0" w:space="0" w:color="auto"/>
            <w:left w:val="none" w:sz="0" w:space="0" w:color="auto"/>
            <w:bottom w:val="none" w:sz="0" w:space="0" w:color="auto"/>
            <w:right w:val="none" w:sz="0" w:space="0" w:color="auto"/>
          </w:divBdr>
        </w:div>
        <w:div w:id="658579548">
          <w:marLeft w:val="547"/>
          <w:marRight w:val="0"/>
          <w:marTop w:val="154"/>
          <w:marBottom w:val="0"/>
          <w:divBdr>
            <w:top w:val="none" w:sz="0" w:space="0" w:color="auto"/>
            <w:left w:val="none" w:sz="0" w:space="0" w:color="auto"/>
            <w:bottom w:val="none" w:sz="0" w:space="0" w:color="auto"/>
            <w:right w:val="none" w:sz="0" w:space="0" w:color="auto"/>
          </w:divBdr>
        </w:div>
        <w:div w:id="1751196798">
          <w:marLeft w:val="547"/>
          <w:marRight w:val="0"/>
          <w:marTop w:val="192"/>
          <w:marBottom w:val="0"/>
          <w:divBdr>
            <w:top w:val="none" w:sz="0" w:space="0" w:color="auto"/>
            <w:left w:val="none" w:sz="0" w:space="0" w:color="auto"/>
            <w:bottom w:val="none" w:sz="0" w:space="0" w:color="auto"/>
            <w:right w:val="none" w:sz="0" w:space="0" w:color="auto"/>
          </w:divBdr>
        </w:div>
        <w:div w:id="164830635">
          <w:marLeft w:val="547"/>
          <w:marRight w:val="0"/>
          <w:marTop w:val="115"/>
          <w:marBottom w:val="0"/>
          <w:divBdr>
            <w:top w:val="none" w:sz="0" w:space="0" w:color="auto"/>
            <w:left w:val="none" w:sz="0" w:space="0" w:color="auto"/>
            <w:bottom w:val="none" w:sz="0" w:space="0" w:color="auto"/>
            <w:right w:val="none" w:sz="0" w:space="0" w:color="auto"/>
          </w:divBdr>
        </w:div>
        <w:div w:id="711465827">
          <w:marLeft w:val="547"/>
          <w:marRight w:val="0"/>
          <w:marTop w:val="115"/>
          <w:marBottom w:val="0"/>
          <w:divBdr>
            <w:top w:val="none" w:sz="0" w:space="0" w:color="auto"/>
            <w:left w:val="none" w:sz="0" w:space="0" w:color="auto"/>
            <w:bottom w:val="none" w:sz="0" w:space="0" w:color="auto"/>
            <w:right w:val="none" w:sz="0" w:space="0" w:color="auto"/>
          </w:divBdr>
        </w:div>
        <w:div w:id="641808743">
          <w:marLeft w:val="547"/>
          <w:marRight w:val="0"/>
          <w:marTop w:val="154"/>
          <w:marBottom w:val="0"/>
          <w:divBdr>
            <w:top w:val="none" w:sz="0" w:space="0" w:color="auto"/>
            <w:left w:val="none" w:sz="0" w:space="0" w:color="auto"/>
            <w:bottom w:val="none" w:sz="0" w:space="0" w:color="auto"/>
            <w:right w:val="none" w:sz="0" w:space="0" w:color="auto"/>
          </w:divBdr>
        </w:div>
        <w:div w:id="1279681029">
          <w:marLeft w:val="547"/>
          <w:marRight w:val="0"/>
          <w:marTop w:val="154"/>
          <w:marBottom w:val="0"/>
          <w:divBdr>
            <w:top w:val="none" w:sz="0" w:space="0" w:color="auto"/>
            <w:left w:val="none" w:sz="0" w:space="0" w:color="auto"/>
            <w:bottom w:val="none" w:sz="0" w:space="0" w:color="auto"/>
            <w:right w:val="none" w:sz="0" w:space="0" w:color="auto"/>
          </w:divBdr>
        </w:div>
        <w:div w:id="2041972171">
          <w:marLeft w:val="547"/>
          <w:marRight w:val="0"/>
          <w:marTop w:val="154"/>
          <w:marBottom w:val="0"/>
          <w:divBdr>
            <w:top w:val="none" w:sz="0" w:space="0" w:color="auto"/>
            <w:left w:val="none" w:sz="0" w:space="0" w:color="auto"/>
            <w:bottom w:val="none" w:sz="0" w:space="0" w:color="auto"/>
            <w:right w:val="none" w:sz="0" w:space="0" w:color="auto"/>
          </w:divBdr>
        </w:div>
        <w:div w:id="1061750471">
          <w:marLeft w:val="547"/>
          <w:marRight w:val="0"/>
          <w:marTop w:val="154"/>
          <w:marBottom w:val="0"/>
          <w:divBdr>
            <w:top w:val="none" w:sz="0" w:space="0" w:color="auto"/>
            <w:left w:val="none" w:sz="0" w:space="0" w:color="auto"/>
            <w:bottom w:val="none" w:sz="0" w:space="0" w:color="auto"/>
            <w:right w:val="none" w:sz="0" w:space="0" w:color="auto"/>
          </w:divBdr>
        </w:div>
        <w:div w:id="390740504">
          <w:marLeft w:val="547"/>
          <w:marRight w:val="0"/>
          <w:marTop w:val="154"/>
          <w:marBottom w:val="0"/>
          <w:divBdr>
            <w:top w:val="none" w:sz="0" w:space="0" w:color="auto"/>
            <w:left w:val="none" w:sz="0" w:space="0" w:color="auto"/>
            <w:bottom w:val="none" w:sz="0" w:space="0" w:color="auto"/>
            <w:right w:val="none" w:sz="0" w:space="0" w:color="auto"/>
          </w:divBdr>
        </w:div>
        <w:div w:id="954409257">
          <w:marLeft w:val="547"/>
          <w:marRight w:val="0"/>
          <w:marTop w:val="134"/>
          <w:marBottom w:val="0"/>
          <w:divBdr>
            <w:top w:val="none" w:sz="0" w:space="0" w:color="auto"/>
            <w:left w:val="none" w:sz="0" w:space="0" w:color="auto"/>
            <w:bottom w:val="none" w:sz="0" w:space="0" w:color="auto"/>
            <w:right w:val="none" w:sz="0" w:space="0" w:color="auto"/>
          </w:divBdr>
        </w:div>
        <w:div w:id="586039053">
          <w:marLeft w:val="547"/>
          <w:marRight w:val="0"/>
          <w:marTop w:val="134"/>
          <w:marBottom w:val="0"/>
          <w:divBdr>
            <w:top w:val="none" w:sz="0" w:space="0" w:color="auto"/>
            <w:left w:val="none" w:sz="0" w:space="0" w:color="auto"/>
            <w:bottom w:val="none" w:sz="0" w:space="0" w:color="auto"/>
            <w:right w:val="none" w:sz="0" w:space="0" w:color="auto"/>
          </w:divBdr>
        </w:div>
        <w:div w:id="2099665924">
          <w:marLeft w:val="547"/>
          <w:marRight w:val="0"/>
          <w:marTop w:val="154"/>
          <w:marBottom w:val="0"/>
          <w:divBdr>
            <w:top w:val="none" w:sz="0" w:space="0" w:color="auto"/>
            <w:left w:val="none" w:sz="0" w:space="0" w:color="auto"/>
            <w:bottom w:val="none" w:sz="0" w:space="0" w:color="auto"/>
            <w:right w:val="none" w:sz="0" w:space="0" w:color="auto"/>
          </w:divBdr>
        </w:div>
        <w:div w:id="991174191">
          <w:marLeft w:val="547"/>
          <w:marRight w:val="0"/>
          <w:marTop w:val="154"/>
          <w:marBottom w:val="0"/>
          <w:divBdr>
            <w:top w:val="none" w:sz="0" w:space="0" w:color="auto"/>
            <w:left w:val="none" w:sz="0" w:space="0" w:color="auto"/>
            <w:bottom w:val="none" w:sz="0" w:space="0" w:color="auto"/>
            <w:right w:val="none" w:sz="0" w:space="0" w:color="auto"/>
          </w:divBdr>
        </w:div>
        <w:div w:id="350037677">
          <w:marLeft w:val="547"/>
          <w:marRight w:val="0"/>
          <w:marTop w:val="154"/>
          <w:marBottom w:val="0"/>
          <w:divBdr>
            <w:top w:val="none" w:sz="0" w:space="0" w:color="auto"/>
            <w:left w:val="none" w:sz="0" w:space="0" w:color="auto"/>
            <w:bottom w:val="none" w:sz="0" w:space="0" w:color="auto"/>
            <w:right w:val="none" w:sz="0" w:space="0" w:color="auto"/>
          </w:divBdr>
        </w:div>
        <w:div w:id="1409812034">
          <w:marLeft w:val="547"/>
          <w:marRight w:val="0"/>
          <w:marTop w:val="154"/>
          <w:marBottom w:val="0"/>
          <w:divBdr>
            <w:top w:val="none" w:sz="0" w:space="0" w:color="auto"/>
            <w:left w:val="none" w:sz="0" w:space="0" w:color="auto"/>
            <w:bottom w:val="none" w:sz="0" w:space="0" w:color="auto"/>
            <w:right w:val="none" w:sz="0" w:space="0" w:color="auto"/>
          </w:divBdr>
        </w:div>
        <w:div w:id="295651010">
          <w:marLeft w:val="547"/>
          <w:marRight w:val="0"/>
          <w:marTop w:val="134"/>
          <w:marBottom w:val="0"/>
          <w:divBdr>
            <w:top w:val="none" w:sz="0" w:space="0" w:color="auto"/>
            <w:left w:val="none" w:sz="0" w:space="0" w:color="auto"/>
            <w:bottom w:val="none" w:sz="0" w:space="0" w:color="auto"/>
            <w:right w:val="none" w:sz="0" w:space="0" w:color="auto"/>
          </w:divBdr>
        </w:div>
        <w:div w:id="470750400">
          <w:marLeft w:val="547"/>
          <w:marRight w:val="0"/>
          <w:marTop w:val="134"/>
          <w:marBottom w:val="0"/>
          <w:divBdr>
            <w:top w:val="none" w:sz="0" w:space="0" w:color="auto"/>
            <w:left w:val="none" w:sz="0" w:space="0" w:color="auto"/>
            <w:bottom w:val="none" w:sz="0" w:space="0" w:color="auto"/>
            <w:right w:val="none" w:sz="0" w:space="0" w:color="auto"/>
          </w:divBdr>
        </w:div>
        <w:div w:id="447744568">
          <w:marLeft w:val="547"/>
          <w:marRight w:val="0"/>
          <w:marTop w:val="154"/>
          <w:marBottom w:val="0"/>
          <w:divBdr>
            <w:top w:val="none" w:sz="0" w:space="0" w:color="auto"/>
            <w:left w:val="none" w:sz="0" w:space="0" w:color="auto"/>
            <w:bottom w:val="none" w:sz="0" w:space="0" w:color="auto"/>
            <w:right w:val="none" w:sz="0" w:space="0" w:color="auto"/>
          </w:divBdr>
        </w:div>
        <w:div w:id="13072920">
          <w:marLeft w:val="547"/>
          <w:marRight w:val="0"/>
          <w:marTop w:val="154"/>
          <w:marBottom w:val="0"/>
          <w:divBdr>
            <w:top w:val="none" w:sz="0" w:space="0" w:color="auto"/>
            <w:left w:val="none" w:sz="0" w:space="0" w:color="auto"/>
            <w:bottom w:val="none" w:sz="0" w:space="0" w:color="auto"/>
            <w:right w:val="none" w:sz="0" w:space="0" w:color="auto"/>
          </w:divBdr>
        </w:div>
        <w:div w:id="161239218">
          <w:marLeft w:val="547"/>
          <w:marRight w:val="0"/>
          <w:marTop w:val="154"/>
          <w:marBottom w:val="0"/>
          <w:divBdr>
            <w:top w:val="none" w:sz="0" w:space="0" w:color="auto"/>
            <w:left w:val="none" w:sz="0" w:space="0" w:color="auto"/>
            <w:bottom w:val="none" w:sz="0" w:space="0" w:color="auto"/>
            <w:right w:val="none" w:sz="0" w:space="0" w:color="auto"/>
          </w:divBdr>
        </w:div>
        <w:div w:id="1494907430">
          <w:marLeft w:val="547"/>
          <w:marRight w:val="0"/>
          <w:marTop w:val="154"/>
          <w:marBottom w:val="0"/>
          <w:divBdr>
            <w:top w:val="none" w:sz="0" w:space="0" w:color="auto"/>
            <w:left w:val="none" w:sz="0" w:space="0" w:color="auto"/>
            <w:bottom w:val="none" w:sz="0" w:space="0" w:color="auto"/>
            <w:right w:val="none" w:sz="0" w:space="0" w:color="auto"/>
          </w:divBdr>
        </w:div>
        <w:div w:id="1071388445">
          <w:marLeft w:val="547"/>
          <w:marRight w:val="0"/>
          <w:marTop w:val="154"/>
          <w:marBottom w:val="0"/>
          <w:divBdr>
            <w:top w:val="none" w:sz="0" w:space="0" w:color="auto"/>
            <w:left w:val="none" w:sz="0" w:space="0" w:color="auto"/>
            <w:bottom w:val="none" w:sz="0" w:space="0" w:color="auto"/>
            <w:right w:val="none" w:sz="0" w:space="0" w:color="auto"/>
          </w:divBdr>
        </w:div>
        <w:div w:id="1036849310">
          <w:marLeft w:val="547"/>
          <w:marRight w:val="0"/>
          <w:marTop w:val="154"/>
          <w:marBottom w:val="0"/>
          <w:divBdr>
            <w:top w:val="none" w:sz="0" w:space="0" w:color="auto"/>
            <w:left w:val="none" w:sz="0" w:space="0" w:color="auto"/>
            <w:bottom w:val="none" w:sz="0" w:space="0" w:color="auto"/>
            <w:right w:val="none" w:sz="0" w:space="0" w:color="auto"/>
          </w:divBdr>
        </w:div>
        <w:div w:id="47071242">
          <w:marLeft w:val="547"/>
          <w:marRight w:val="0"/>
          <w:marTop w:val="115"/>
          <w:marBottom w:val="0"/>
          <w:divBdr>
            <w:top w:val="none" w:sz="0" w:space="0" w:color="auto"/>
            <w:left w:val="none" w:sz="0" w:space="0" w:color="auto"/>
            <w:bottom w:val="none" w:sz="0" w:space="0" w:color="auto"/>
            <w:right w:val="none" w:sz="0" w:space="0" w:color="auto"/>
          </w:divBdr>
        </w:div>
        <w:div w:id="1316186595">
          <w:marLeft w:val="547"/>
          <w:marRight w:val="0"/>
          <w:marTop w:val="154"/>
          <w:marBottom w:val="0"/>
          <w:divBdr>
            <w:top w:val="none" w:sz="0" w:space="0" w:color="auto"/>
            <w:left w:val="none" w:sz="0" w:space="0" w:color="auto"/>
            <w:bottom w:val="none" w:sz="0" w:space="0" w:color="auto"/>
            <w:right w:val="none" w:sz="0" w:space="0" w:color="auto"/>
          </w:divBdr>
        </w:div>
        <w:div w:id="1405568255">
          <w:marLeft w:val="547"/>
          <w:marRight w:val="0"/>
          <w:marTop w:val="115"/>
          <w:marBottom w:val="0"/>
          <w:divBdr>
            <w:top w:val="none" w:sz="0" w:space="0" w:color="auto"/>
            <w:left w:val="none" w:sz="0" w:space="0" w:color="auto"/>
            <w:bottom w:val="none" w:sz="0" w:space="0" w:color="auto"/>
            <w:right w:val="none" w:sz="0" w:space="0" w:color="auto"/>
          </w:divBdr>
        </w:div>
        <w:div w:id="391584111">
          <w:marLeft w:val="547"/>
          <w:marRight w:val="0"/>
          <w:marTop w:val="154"/>
          <w:marBottom w:val="0"/>
          <w:divBdr>
            <w:top w:val="none" w:sz="0" w:space="0" w:color="auto"/>
            <w:left w:val="none" w:sz="0" w:space="0" w:color="auto"/>
            <w:bottom w:val="none" w:sz="0" w:space="0" w:color="auto"/>
            <w:right w:val="none" w:sz="0" w:space="0" w:color="auto"/>
          </w:divBdr>
        </w:div>
        <w:div w:id="1337146990">
          <w:marLeft w:val="1282"/>
          <w:marRight w:val="0"/>
          <w:marTop w:val="154"/>
          <w:marBottom w:val="0"/>
          <w:divBdr>
            <w:top w:val="none" w:sz="0" w:space="0" w:color="auto"/>
            <w:left w:val="none" w:sz="0" w:space="0" w:color="auto"/>
            <w:bottom w:val="none" w:sz="0" w:space="0" w:color="auto"/>
            <w:right w:val="none" w:sz="0" w:space="0" w:color="auto"/>
          </w:divBdr>
        </w:div>
        <w:div w:id="228735392">
          <w:marLeft w:val="547"/>
          <w:marRight w:val="0"/>
          <w:marTop w:val="154"/>
          <w:marBottom w:val="0"/>
          <w:divBdr>
            <w:top w:val="none" w:sz="0" w:space="0" w:color="auto"/>
            <w:left w:val="none" w:sz="0" w:space="0" w:color="auto"/>
            <w:bottom w:val="none" w:sz="0" w:space="0" w:color="auto"/>
            <w:right w:val="none" w:sz="0" w:space="0" w:color="auto"/>
          </w:divBdr>
        </w:div>
        <w:div w:id="1388718549">
          <w:marLeft w:val="547"/>
          <w:marRight w:val="0"/>
          <w:marTop w:val="96"/>
          <w:marBottom w:val="0"/>
          <w:divBdr>
            <w:top w:val="none" w:sz="0" w:space="0" w:color="auto"/>
            <w:left w:val="none" w:sz="0" w:space="0" w:color="auto"/>
            <w:bottom w:val="none" w:sz="0" w:space="0" w:color="auto"/>
            <w:right w:val="none" w:sz="0" w:space="0" w:color="auto"/>
          </w:divBdr>
        </w:div>
        <w:div w:id="1853185880">
          <w:marLeft w:val="547"/>
          <w:marRight w:val="0"/>
          <w:marTop w:val="154"/>
          <w:marBottom w:val="0"/>
          <w:divBdr>
            <w:top w:val="none" w:sz="0" w:space="0" w:color="auto"/>
            <w:left w:val="none" w:sz="0" w:space="0" w:color="auto"/>
            <w:bottom w:val="none" w:sz="0" w:space="0" w:color="auto"/>
            <w:right w:val="none" w:sz="0" w:space="0" w:color="auto"/>
          </w:divBdr>
        </w:div>
        <w:div w:id="1358265805">
          <w:marLeft w:val="547"/>
          <w:marRight w:val="0"/>
          <w:marTop w:val="154"/>
          <w:marBottom w:val="0"/>
          <w:divBdr>
            <w:top w:val="none" w:sz="0" w:space="0" w:color="auto"/>
            <w:left w:val="none" w:sz="0" w:space="0" w:color="auto"/>
            <w:bottom w:val="none" w:sz="0" w:space="0" w:color="auto"/>
            <w:right w:val="none" w:sz="0" w:space="0" w:color="auto"/>
          </w:divBdr>
        </w:div>
        <w:div w:id="1283146616">
          <w:marLeft w:val="547"/>
          <w:marRight w:val="0"/>
          <w:marTop w:val="154"/>
          <w:marBottom w:val="0"/>
          <w:divBdr>
            <w:top w:val="none" w:sz="0" w:space="0" w:color="auto"/>
            <w:left w:val="none" w:sz="0" w:space="0" w:color="auto"/>
            <w:bottom w:val="none" w:sz="0" w:space="0" w:color="auto"/>
            <w:right w:val="none" w:sz="0" w:space="0" w:color="auto"/>
          </w:divBdr>
        </w:div>
        <w:div w:id="2054763962">
          <w:marLeft w:val="547"/>
          <w:marRight w:val="0"/>
          <w:marTop w:val="154"/>
          <w:marBottom w:val="0"/>
          <w:divBdr>
            <w:top w:val="none" w:sz="0" w:space="0" w:color="auto"/>
            <w:left w:val="none" w:sz="0" w:space="0" w:color="auto"/>
            <w:bottom w:val="none" w:sz="0" w:space="0" w:color="auto"/>
            <w:right w:val="none" w:sz="0" w:space="0" w:color="auto"/>
          </w:divBdr>
        </w:div>
        <w:div w:id="728193654">
          <w:marLeft w:val="547"/>
          <w:marRight w:val="0"/>
          <w:marTop w:val="154"/>
          <w:marBottom w:val="0"/>
          <w:divBdr>
            <w:top w:val="none" w:sz="0" w:space="0" w:color="auto"/>
            <w:left w:val="none" w:sz="0" w:space="0" w:color="auto"/>
            <w:bottom w:val="none" w:sz="0" w:space="0" w:color="auto"/>
            <w:right w:val="none" w:sz="0" w:space="0" w:color="auto"/>
          </w:divBdr>
        </w:div>
        <w:div w:id="86736832">
          <w:marLeft w:val="547"/>
          <w:marRight w:val="0"/>
          <w:marTop w:val="154"/>
          <w:marBottom w:val="0"/>
          <w:divBdr>
            <w:top w:val="none" w:sz="0" w:space="0" w:color="auto"/>
            <w:left w:val="none" w:sz="0" w:space="0" w:color="auto"/>
            <w:bottom w:val="none" w:sz="0" w:space="0" w:color="auto"/>
            <w:right w:val="none" w:sz="0" w:space="0" w:color="auto"/>
          </w:divBdr>
        </w:div>
        <w:div w:id="174926315">
          <w:marLeft w:val="547"/>
          <w:marRight w:val="0"/>
          <w:marTop w:val="154"/>
          <w:marBottom w:val="0"/>
          <w:divBdr>
            <w:top w:val="none" w:sz="0" w:space="0" w:color="auto"/>
            <w:left w:val="none" w:sz="0" w:space="0" w:color="auto"/>
            <w:bottom w:val="none" w:sz="0" w:space="0" w:color="auto"/>
            <w:right w:val="none" w:sz="0" w:space="0" w:color="auto"/>
          </w:divBdr>
        </w:div>
        <w:div w:id="1108814110">
          <w:marLeft w:val="547"/>
          <w:marRight w:val="0"/>
          <w:marTop w:val="154"/>
          <w:marBottom w:val="0"/>
          <w:divBdr>
            <w:top w:val="none" w:sz="0" w:space="0" w:color="auto"/>
            <w:left w:val="none" w:sz="0" w:space="0" w:color="auto"/>
            <w:bottom w:val="none" w:sz="0" w:space="0" w:color="auto"/>
            <w:right w:val="none" w:sz="0" w:space="0" w:color="auto"/>
          </w:divBdr>
        </w:div>
        <w:div w:id="1826046587">
          <w:marLeft w:val="547"/>
          <w:marRight w:val="0"/>
          <w:marTop w:val="154"/>
          <w:marBottom w:val="0"/>
          <w:divBdr>
            <w:top w:val="none" w:sz="0" w:space="0" w:color="auto"/>
            <w:left w:val="none" w:sz="0" w:space="0" w:color="auto"/>
            <w:bottom w:val="none" w:sz="0" w:space="0" w:color="auto"/>
            <w:right w:val="none" w:sz="0" w:space="0" w:color="auto"/>
          </w:divBdr>
        </w:div>
        <w:div w:id="2141192910">
          <w:marLeft w:val="547"/>
          <w:marRight w:val="0"/>
          <w:marTop w:val="154"/>
          <w:marBottom w:val="0"/>
          <w:divBdr>
            <w:top w:val="none" w:sz="0" w:space="0" w:color="auto"/>
            <w:left w:val="none" w:sz="0" w:space="0" w:color="auto"/>
            <w:bottom w:val="none" w:sz="0" w:space="0" w:color="auto"/>
            <w:right w:val="none" w:sz="0" w:space="0" w:color="auto"/>
          </w:divBdr>
        </w:div>
        <w:div w:id="550264495">
          <w:marLeft w:val="547"/>
          <w:marRight w:val="0"/>
          <w:marTop w:val="154"/>
          <w:marBottom w:val="0"/>
          <w:divBdr>
            <w:top w:val="none" w:sz="0" w:space="0" w:color="auto"/>
            <w:left w:val="none" w:sz="0" w:space="0" w:color="auto"/>
            <w:bottom w:val="none" w:sz="0" w:space="0" w:color="auto"/>
            <w:right w:val="none" w:sz="0" w:space="0" w:color="auto"/>
          </w:divBdr>
        </w:div>
        <w:div w:id="1905136374">
          <w:marLeft w:val="547"/>
          <w:marRight w:val="0"/>
          <w:marTop w:val="154"/>
          <w:marBottom w:val="0"/>
          <w:divBdr>
            <w:top w:val="none" w:sz="0" w:space="0" w:color="auto"/>
            <w:left w:val="none" w:sz="0" w:space="0" w:color="auto"/>
            <w:bottom w:val="none" w:sz="0" w:space="0" w:color="auto"/>
            <w:right w:val="none" w:sz="0" w:space="0" w:color="auto"/>
          </w:divBdr>
        </w:div>
        <w:div w:id="1647277403">
          <w:marLeft w:val="547"/>
          <w:marRight w:val="0"/>
          <w:marTop w:val="154"/>
          <w:marBottom w:val="0"/>
          <w:divBdr>
            <w:top w:val="none" w:sz="0" w:space="0" w:color="auto"/>
            <w:left w:val="none" w:sz="0" w:space="0" w:color="auto"/>
            <w:bottom w:val="none" w:sz="0" w:space="0" w:color="auto"/>
            <w:right w:val="none" w:sz="0" w:space="0" w:color="auto"/>
          </w:divBdr>
        </w:div>
        <w:div w:id="1143307260">
          <w:marLeft w:val="547"/>
          <w:marRight w:val="0"/>
          <w:marTop w:val="154"/>
          <w:marBottom w:val="0"/>
          <w:divBdr>
            <w:top w:val="none" w:sz="0" w:space="0" w:color="auto"/>
            <w:left w:val="none" w:sz="0" w:space="0" w:color="auto"/>
            <w:bottom w:val="none" w:sz="0" w:space="0" w:color="auto"/>
            <w:right w:val="none" w:sz="0" w:space="0" w:color="auto"/>
          </w:divBdr>
        </w:div>
        <w:div w:id="259224539">
          <w:marLeft w:val="547"/>
          <w:marRight w:val="0"/>
          <w:marTop w:val="154"/>
          <w:marBottom w:val="0"/>
          <w:divBdr>
            <w:top w:val="none" w:sz="0" w:space="0" w:color="auto"/>
            <w:left w:val="none" w:sz="0" w:space="0" w:color="auto"/>
            <w:bottom w:val="none" w:sz="0" w:space="0" w:color="auto"/>
            <w:right w:val="none" w:sz="0" w:space="0" w:color="auto"/>
          </w:divBdr>
        </w:div>
        <w:div w:id="1171676373">
          <w:marLeft w:val="547"/>
          <w:marRight w:val="0"/>
          <w:marTop w:val="154"/>
          <w:marBottom w:val="0"/>
          <w:divBdr>
            <w:top w:val="none" w:sz="0" w:space="0" w:color="auto"/>
            <w:left w:val="none" w:sz="0" w:space="0" w:color="auto"/>
            <w:bottom w:val="none" w:sz="0" w:space="0" w:color="auto"/>
            <w:right w:val="none" w:sz="0" w:space="0" w:color="auto"/>
          </w:divBdr>
        </w:div>
        <w:div w:id="2143576201">
          <w:marLeft w:val="547"/>
          <w:marRight w:val="0"/>
          <w:marTop w:val="154"/>
          <w:marBottom w:val="0"/>
          <w:divBdr>
            <w:top w:val="none" w:sz="0" w:space="0" w:color="auto"/>
            <w:left w:val="none" w:sz="0" w:space="0" w:color="auto"/>
            <w:bottom w:val="none" w:sz="0" w:space="0" w:color="auto"/>
            <w:right w:val="none" w:sz="0" w:space="0" w:color="auto"/>
          </w:divBdr>
        </w:div>
        <w:div w:id="152071607">
          <w:marLeft w:val="547"/>
          <w:marRight w:val="0"/>
          <w:marTop w:val="154"/>
          <w:marBottom w:val="0"/>
          <w:divBdr>
            <w:top w:val="none" w:sz="0" w:space="0" w:color="auto"/>
            <w:left w:val="none" w:sz="0" w:space="0" w:color="auto"/>
            <w:bottom w:val="none" w:sz="0" w:space="0" w:color="auto"/>
            <w:right w:val="none" w:sz="0" w:space="0" w:color="auto"/>
          </w:divBdr>
        </w:div>
        <w:div w:id="822083765">
          <w:marLeft w:val="547"/>
          <w:marRight w:val="0"/>
          <w:marTop w:val="154"/>
          <w:marBottom w:val="0"/>
          <w:divBdr>
            <w:top w:val="none" w:sz="0" w:space="0" w:color="auto"/>
            <w:left w:val="none" w:sz="0" w:space="0" w:color="auto"/>
            <w:bottom w:val="none" w:sz="0" w:space="0" w:color="auto"/>
            <w:right w:val="none" w:sz="0" w:space="0" w:color="auto"/>
          </w:divBdr>
        </w:div>
        <w:div w:id="476649036">
          <w:marLeft w:val="547"/>
          <w:marRight w:val="0"/>
          <w:marTop w:val="154"/>
          <w:marBottom w:val="0"/>
          <w:divBdr>
            <w:top w:val="none" w:sz="0" w:space="0" w:color="auto"/>
            <w:left w:val="none" w:sz="0" w:space="0" w:color="auto"/>
            <w:bottom w:val="none" w:sz="0" w:space="0" w:color="auto"/>
            <w:right w:val="none" w:sz="0" w:space="0" w:color="auto"/>
          </w:divBdr>
        </w:div>
        <w:div w:id="1671833772">
          <w:marLeft w:val="547"/>
          <w:marRight w:val="0"/>
          <w:marTop w:val="154"/>
          <w:marBottom w:val="0"/>
          <w:divBdr>
            <w:top w:val="none" w:sz="0" w:space="0" w:color="auto"/>
            <w:left w:val="none" w:sz="0" w:space="0" w:color="auto"/>
            <w:bottom w:val="none" w:sz="0" w:space="0" w:color="auto"/>
            <w:right w:val="none" w:sz="0" w:space="0" w:color="auto"/>
          </w:divBdr>
        </w:div>
        <w:div w:id="1387413814">
          <w:marLeft w:val="547"/>
          <w:marRight w:val="0"/>
          <w:marTop w:val="154"/>
          <w:marBottom w:val="0"/>
          <w:divBdr>
            <w:top w:val="none" w:sz="0" w:space="0" w:color="auto"/>
            <w:left w:val="none" w:sz="0" w:space="0" w:color="auto"/>
            <w:bottom w:val="none" w:sz="0" w:space="0" w:color="auto"/>
            <w:right w:val="none" w:sz="0" w:space="0" w:color="auto"/>
          </w:divBdr>
        </w:div>
        <w:div w:id="1172839783">
          <w:marLeft w:val="547"/>
          <w:marRight w:val="0"/>
          <w:marTop w:val="96"/>
          <w:marBottom w:val="0"/>
          <w:divBdr>
            <w:top w:val="none" w:sz="0" w:space="0" w:color="auto"/>
            <w:left w:val="none" w:sz="0" w:space="0" w:color="auto"/>
            <w:bottom w:val="none" w:sz="0" w:space="0" w:color="auto"/>
            <w:right w:val="none" w:sz="0" w:space="0" w:color="auto"/>
          </w:divBdr>
        </w:div>
        <w:div w:id="308899747">
          <w:marLeft w:val="547"/>
          <w:marRight w:val="0"/>
          <w:marTop w:val="154"/>
          <w:marBottom w:val="0"/>
          <w:divBdr>
            <w:top w:val="none" w:sz="0" w:space="0" w:color="auto"/>
            <w:left w:val="none" w:sz="0" w:space="0" w:color="auto"/>
            <w:bottom w:val="none" w:sz="0" w:space="0" w:color="auto"/>
            <w:right w:val="none" w:sz="0" w:space="0" w:color="auto"/>
          </w:divBdr>
        </w:div>
        <w:div w:id="1906184940">
          <w:marLeft w:val="547"/>
          <w:marRight w:val="0"/>
          <w:marTop w:val="86"/>
          <w:marBottom w:val="0"/>
          <w:divBdr>
            <w:top w:val="none" w:sz="0" w:space="0" w:color="auto"/>
            <w:left w:val="none" w:sz="0" w:space="0" w:color="auto"/>
            <w:bottom w:val="none" w:sz="0" w:space="0" w:color="auto"/>
            <w:right w:val="none" w:sz="0" w:space="0" w:color="auto"/>
          </w:divBdr>
        </w:div>
        <w:div w:id="1761443396">
          <w:marLeft w:val="547"/>
          <w:marRight w:val="0"/>
          <w:marTop w:val="154"/>
          <w:marBottom w:val="0"/>
          <w:divBdr>
            <w:top w:val="none" w:sz="0" w:space="0" w:color="auto"/>
            <w:left w:val="none" w:sz="0" w:space="0" w:color="auto"/>
            <w:bottom w:val="none" w:sz="0" w:space="0" w:color="auto"/>
            <w:right w:val="none" w:sz="0" w:space="0" w:color="auto"/>
          </w:divBdr>
        </w:div>
        <w:div w:id="856163342">
          <w:marLeft w:val="547"/>
          <w:marRight w:val="0"/>
          <w:marTop w:val="134"/>
          <w:marBottom w:val="0"/>
          <w:divBdr>
            <w:top w:val="none" w:sz="0" w:space="0" w:color="auto"/>
            <w:left w:val="none" w:sz="0" w:space="0" w:color="auto"/>
            <w:bottom w:val="none" w:sz="0" w:space="0" w:color="auto"/>
            <w:right w:val="none" w:sz="0" w:space="0" w:color="auto"/>
          </w:divBdr>
        </w:div>
        <w:div w:id="345251027">
          <w:marLeft w:val="547"/>
          <w:marRight w:val="0"/>
          <w:marTop w:val="154"/>
          <w:marBottom w:val="0"/>
          <w:divBdr>
            <w:top w:val="none" w:sz="0" w:space="0" w:color="auto"/>
            <w:left w:val="none" w:sz="0" w:space="0" w:color="auto"/>
            <w:bottom w:val="none" w:sz="0" w:space="0" w:color="auto"/>
            <w:right w:val="none" w:sz="0" w:space="0" w:color="auto"/>
          </w:divBdr>
        </w:div>
        <w:div w:id="1594430821">
          <w:marLeft w:val="547"/>
          <w:marRight w:val="0"/>
          <w:marTop w:val="115"/>
          <w:marBottom w:val="0"/>
          <w:divBdr>
            <w:top w:val="none" w:sz="0" w:space="0" w:color="auto"/>
            <w:left w:val="none" w:sz="0" w:space="0" w:color="auto"/>
            <w:bottom w:val="none" w:sz="0" w:space="0" w:color="auto"/>
            <w:right w:val="none" w:sz="0" w:space="0" w:color="auto"/>
          </w:divBdr>
        </w:div>
        <w:div w:id="1691644774">
          <w:marLeft w:val="547"/>
          <w:marRight w:val="0"/>
          <w:marTop w:val="192"/>
          <w:marBottom w:val="0"/>
          <w:divBdr>
            <w:top w:val="none" w:sz="0" w:space="0" w:color="auto"/>
            <w:left w:val="none" w:sz="0" w:space="0" w:color="auto"/>
            <w:bottom w:val="none" w:sz="0" w:space="0" w:color="auto"/>
            <w:right w:val="none" w:sz="0" w:space="0" w:color="auto"/>
          </w:divBdr>
        </w:div>
        <w:div w:id="747532611">
          <w:marLeft w:val="547"/>
          <w:marRight w:val="0"/>
          <w:marTop w:val="154"/>
          <w:marBottom w:val="0"/>
          <w:divBdr>
            <w:top w:val="none" w:sz="0" w:space="0" w:color="auto"/>
            <w:left w:val="none" w:sz="0" w:space="0" w:color="auto"/>
            <w:bottom w:val="none" w:sz="0" w:space="0" w:color="auto"/>
            <w:right w:val="none" w:sz="0" w:space="0" w:color="auto"/>
          </w:divBdr>
        </w:div>
        <w:div w:id="1203325373">
          <w:marLeft w:val="547"/>
          <w:marRight w:val="0"/>
          <w:marTop w:val="154"/>
          <w:marBottom w:val="0"/>
          <w:divBdr>
            <w:top w:val="none" w:sz="0" w:space="0" w:color="auto"/>
            <w:left w:val="none" w:sz="0" w:space="0" w:color="auto"/>
            <w:bottom w:val="none" w:sz="0" w:space="0" w:color="auto"/>
            <w:right w:val="none" w:sz="0" w:space="0" w:color="auto"/>
          </w:divBdr>
        </w:div>
        <w:div w:id="1710033220">
          <w:marLeft w:val="547"/>
          <w:marRight w:val="0"/>
          <w:marTop w:val="115"/>
          <w:marBottom w:val="0"/>
          <w:divBdr>
            <w:top w:val="none" w:sz="0" w:space="0" w:color="auto"/>
            <w:left w:val="none" w:sz="0" w:space="0" w:color="auto"/>
            <w:bottom w:val="none" w:sz="0" w:space="0" w:color="auto"/>
            <w:right w:val="none" w:sz="0" w:space="0" w:color="auto"/>
          </w:divBdr>
        </w:div>
        <w:div w:id="2010715046">
          <w:marLeft w:val="547"/>
          <w:marRight w:val="0"/>
          <w:marTop w:val="154"/>
          <w:marBottom w:val="0"/>
          <w:divBdr>
            <w:top w:val="none" w:sz="0" w:space="0" w:color="auto"/>
            <w:left w:val="none" w:sz="0" w:space="0" w:color="auto"/>
            <w:bottom w:val="none" w:sz="0" w:space="0" w:color="auto"/>
            <w:right w:val="none" w:sz="0" w:space="0" w:color="auto"/>
          </w:divBdr>
        </w:div>
        <w:div w:id="1572890966">
          <w:marLeft w:val="547"/>
          <w:marRight w:val="0"/>
          <w:marTop w:val="86"/>
          <w:marBottom w:val="0"/>
          <w:divBdr>
            <w:top w:val="none" w:sz="0" w:space="0" w:color="auto"/>
            <w:left w:val="none" w:sz="0" w:space="0" w:color="auto"/>
            <w:bottom w:val="none" w:sz="0" w:space="0" w:color="auto"/>
            <w:right w:val="none" w:sz="0" w:space="0" w:color="auto"/>
          </w:divBdr>
        </w:div>
        <w:div w:id="722605515">
          <w:marLeft w:val="547"/>
          <w:marRight w:val="0"/>
          <w:marTop w:val="154"/>
          <w:marBottom w:val="0"/>
          <w:divBdr>
            <w:top w:val="none" w:sz="0" w:space="0" w:color="auto"/>
            <w:left w:val="none" w:sz="0" w:space="0" w:color="auto"/>
            <w:bottom w:val="none" w:sz="0" w:space="0" w:color="auto"/>
            <w:right w:val="none" w:sz="0" w:space="0" w:color="auto"/>
          </w:divBdr>
        </w:div>
        <w:div w:id="379669311">
          <w:marLeft w:val="547"/>
          <w:marRight w:val="0"/>
          <w:marTop w:val="154"/>
          <w:marBottom w:val="0"/>
          <w:divBdr>
            <w:top w:val="none" w:sz="0" w:space="0" w:color="auto"/>
            <w:left w:val="none" w:sz="0" w:space="0" w:color="auto"/>
            <w:bottom w:val="none" w:sz="0" w:space="0" w:color="auto"/>
            <w:right w:val="none" w:sz="0" w:space="0" w:color="auto"/>
          </w:divBdr>
        </w:div>
        <w:div w:id="1621184095">
          <w:marLeft w:val="547"/>
          <w:marRight w:val="0"/>
          <w:marTop w:val="154"/>
          <w:marBottom w:val="0"/>
          <w:divBdr>
            <w:top w:val="none" w:sz="0" w:space="0" w:color="auto"/>
            <w:left w:val="none" w:sz="0" w:space="0" w:color="auto"/>
            <w:bottom w:val="none" w:sz="0" w:space="0" w:color="auto"/>
            <w:right w:val="none" w:sz="0" w:space="0" w:color="auto"/>
          </w:divBdr>
        </w:div>
        <w:div w:id="522397372">
          <w:marLeft w:val="547"/>
          <w:marRight w:val="0"/>
          <w:marTop w:val="115"/>
          <w:marBottom w:val="0"/>
          <w:divBdr>
            <w:top w:val="none" w:sz="0" w:space="0" w:color="auto"/>
            <w:left w:val="none" w:sz="0" w:space="0" w:color="auto"/>
            <w:bottom w:val="none" w:sz="0" w:space="0" w:color="auto"/>
            <w:right w:val="none" w:sz="0" w:space="0" w:color="auto"/>
          </w:divBdr>
        </w:div>
        <w:div w:id="206989763">
          <w:marLeft w:val="547"/>
          <w:marRight w:val="0"/>
          <w:marTop w:val="115"/>
          <w:marBottom w:val="0"/>
          <w:divBdr>
            <w:top w:val="none" w:sz="0" w:space="0" w:color="auto"/>
            <w:left w:val="none" w:sz="0" w:space="0" w:color="auto"/>
            <w:bottom w:val="none" w:sz="0" w:space="0" w:color="auto"/>
            <w:right w:val="none" w:sz="0" w:space="0" w:color="auto"/>
          </w:divBdr>
        </w:div>
        <w:div w:id="2052684847">
          <w:marLeft w:val="547"/>
          <w:marRight w:val="0"/>
          <w:marTop w:val="115"/>
          <w:marBottom w:val="0"/>
          <w:divBdr>
            <w:top w:val="none" w:sz="0" w:space="0" w:color="auto"/>
            <w:left w:val="none" w:sz="0" w:space="0" w:color="auto"/>
            <w:bottom w:val="none" w:sz="0" w:space="0" w:color="auto"/>
            <w:right w:val="none" w:sz="0" w:space="0" w:color="auto"/>
          </w:divBdr>
        </w:div>
        <w:div w:id="1008947092">
          <w:marLeft w:val="547"/>
          <w:marRight w:val="0"/>
          <w:marTop w:val="154"/>
          <w:marBottom w:val="0"/>
          <w:divBdr>
            <w:top w:val="none" w:sz="0" w:space="0" w:color="auto"/>
            <w:left w:val="none" w:sz="0" w:space="0" w:color="auto"/>
            <w:bottom w:val="none" w:sz="0" w:space="0" w:color="auto"/>
            <w:right w:val="none" w:sz="0" w:space="0" w:color="auto"/>
          </w:divBdr>
        </w:div>
        <w:div w:id="255406865">
          <w:marLeft w:val="547"/>
          <w:marRight w:val="0"/>
          <w:marTop w:val="154"/>
          <w:marBottom w:val="0"/>
          <w:divBdr>
            <w:top w:val="none" w:sz="0" w:space="0" w:color="auto"/>
            <w:left w:val="none" w:sz="0" w:space="0" w:color="auto"/>
            <w:bottom w:val="none" w:sz="0" w:space="0" w:color="auto"/>
            <w:right w:val="none" w:sz="0" w:space="0" w:color="auto"/>
          </w:divBdr>
        </w:div>
        <w:div w:id="974681532">
          <w:marLeft w:val="547"/>
          <w:marRight w:val="0"/>
          <w:marTop w:val="154"/>
          <w:marBottom w:val="0"/>
          <w:divBdr>
            <w:top w:val="none" w:sz="0" w:space="0" w:color="auto"/>
            <w:left w:val="none" w:sz="0" w:space="0" w:color="auto"/>
            <w:bottom w:val="none" w:sz="0" w:space="0" w:color="auto"/>
            <w:right w:val="none" w:sz="0" w:space="0" w:color="auto"/>
          </w:divBdr>
        </w:div>
        <w:div w:id="1378550714">
          <w:marLeft w:val="547"/>
          <w:marRight w:val="0"/>
          <w:marTop w:val="154"/>
          <w:marBottom w:val="0"/>
          <w:divBdr>
            <w:top w:val="none" w:sz="0" w:space="0" w:color="auto"/>
            <w:left w:val="none" w:sz="0" w:space="0" w:color="auto"/>
            <w:bottom w:val="none" w:sz="0" w:space="0" w:color="auto"/>
            <w:right w:val="none" w:sz="0" w:space="0" w:color="auto"/>
          </w:divBdr>
        </w:div>
        <w:div w:id="11959729">
          <w:marLeft w:val="547"/>
          <w:marRight w:val="0"/>
          <w:marTop w:val="154"/>
          <w:marBottom w:val="0"/>
          <w:divBdr>
            <w:top w:val="none" w:sz="0" w:space="0" w:color="auto"/>
            <w:left w:val="none" w:sz="0" w:space="0" w:color="auto"/>
            <w:bottom w:val="none" w:sz="0" w:space="0" w:color="auto"/>
            <w:right w:val="none" w:sz="0" w:space="0" w:color="auto"/>
          </w:divBdr>
        </w:div>
        <w:div w:id="68093431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BE6D84B-DF66-4BAC-8A2A-99B36DF4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1054</Words>
  <Characters>6013</Characters>
  <Application>Microsoft Office Word</Application>
  <DocSecurity>0</DocSecurity>
  <Lines>50</Lines>
  <Paragraphs>14</Paragraphs>
  <ScaleCrop>false</ScaleCrop>
  <Company>微软中国</Company>
  <LinksUpToDate>false</LinksUpToDate>
  <CharactersWithSpaces>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2012-04-05T07:00:00Z</dcterms:created>
  <dcterms:modified xsi:type="dcterms:W3CDTF">2012-04-05T07:06:00Z</dcterms:modified>
</cp:coreProperties>
</file>